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AXTA</w:t>
      </w:r>
      <w:r>
        <w:rPr>
          <w:rFonts w:ascii="Calibri" w:hAnsi="Calibri"/>
          <w:b/>
          <w:color w:val="1A2010"/>
          <w:sz w:val="40"/>
        </w:rPr>
        <w:t xml:space="preserve">  Axalta Coating Systems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Axalta Coating Systems is a global coatings company providing liquid and powder coatings for the automotive, industrial, and refinish markets with 12,300 employees.</w:t>
      </w:r>
    </w:p>
    <w:p>
      <w:r>
        <w:rPr>
          <w:rFonts w:ascii="Calibri" w:hAnsi="Calibri"/>
          <w:b/>
          <w:color w:val="6E8450"/>
          <w:sz w:val="18"/>
        </w:rPr>
        <w:t>12,300 Employees · https://www.axalta.com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3.7% YoY with earnings down 55.9%. AI Deployment (0/2): No AI products. Market Share (2/2): Global leader in automotive and refinish coatings [1]. Pipeline (0/2): No significant pipeline. R&amp;D Intensity (1/1): Above-average coatings R&amp;D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coatings technology mission. Community (1/2): 12,300 employees. Retention (0/2): No data. Insider (1/2): Some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AXTA shows solid value metrics. Forward P/E of 9.25 is very attractive, D/E of 138.4% is elevated but manageable for industrials [1]. ROE of 17.4% exceeds target. Profit margin of 7.4% is below target. Revenue growth of -3.7% is negative but recovery expected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Axalta operates as a steady specialty chemicals company without strong infinite 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(1 pt → 4/10)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 pts → 3/10)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(0 pts → 2/10)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AXTA offers deep value at forward P/E 9.25 with 17.4% ROE and market leadership in automotive/refinish coatings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declining 3.7% and earnings down 55.9% reflect cyclical headwinds. D/E of 138.4% adds leverage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Automotive refinish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9.25 offers deep value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EV coatings opportunity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and earnings decline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 leverage at 138.4% D/E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Automotive cyclicality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Specialty coatings manufacturing is a physical-world chemical process that AI cannot displace [1]. Automotive and industrial coatings require physical application and regulatory compliance.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AXTA (Axalta),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