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AZN</w:t>
      </w:r>
      <w:r>
        <w:rPr>
          <w:rFonts w:ascii="Calibri" w:hAnsi="Calibri"/>
          <w:b/>
          <w:color w:val="1A2010"/>
          <w:sz w:val="40"/>
        </w:rPr>
        <w:t xml:space="preserve">  AstraZeneca PLC</w:t>
      </w:r>
    </w:p>
    <w:p>
      <w:pPr>
        <w:spacing w:after="120"/>
      </w:pPr>
      <w:r>
        <w:rPr>
          <w:rFonts w:ascii="Calibri" w:hAnsi="Calibri"/>
          <w:b/>
          <w:color w:val="6E8450"/>
          <w:sz w:val="18"/>
        </w:rPr>
        <w:t>GROWTH SLEEVE · 2026-04-10 · Inspire: -75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Kingdom</w:t>
      </w:r>
    </w:p>
    <w:p>
      <w:pPr>
        <w:spacing w:after="80"/>
      </w:pPr>
      <w:r>
        <w:rPr>
          <w:rFonts w:ascii="Calibri" w:hAnsi="Calibri"/>
          <w:b w:val="0"/>
          <w:color w:val="3A4A28"/>
          <w:sz w:val="20"/>
        </w:rPr>
        <w:t>AstraZeneca is a global biopharmaceutical company focused on the discovery, development, and commercialization of prescription medicines in oncology, cardiovascular/renal/metabolic, respiratory/immunology, and rare disease. The company generated $58.7B in 2025 revenue and is targeting $80B by 2030.</w:t>
      </w:r>
    </w:p>
    <w:p>
      <w:r>
        <w:rPr>
          <w:rFonts w:ascii="Calibri" w:hAnsi="Calibri"/>
          <w:b/>
          <w:color w:val="6E8450"/>
          <w:sz w:val="18"/>
        </w:rPr>
        <w:t>96,100 Employees · https://www.astrazeneca.com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AstraZeneca has executed one of the most remarkable transformations in pharma — growing revenue from $26B in 2017 to $58.7B in 2025 under CEO Pascal Soriot, driven by blockbuster oncology launches including Tagrisso ($6.7B), Imfinzi, and the Alexion rare disease acquisition [1]. Oncology now represents 44% of revenue at $25.6B, growing 17% YoY [1]. AI Deployment (1/2): AstraZeneca is deploying generative AI across drug discovery, clinical trial design, manufacturing, and commercialization to compress development timelines; 85% of internal stakeholders report AI is increasing productivity [2]. The company appointed a Chief of AI for Science Innovation (Jorge Reis-Filho) to formalize the strategy. Market Share (1/2): AstraZeneca is the world's seventh-largest pharma company by revenue and a top-three oncology player, gaining share in lung cancer and hematology through Tagrisso, Enhertu (Daiichi partnership), and Calquence [1]. Pipeline (2/2): Deep pipeline with 180+ projects across oncology, cardiovascular, respiratory, and rare disease, with specific 2030 revenue target of $80B and named launch candidates including datopotamab deruxtecan and other ADCs with quantified peak-sales estimates [1]. R&amp;D Intensity (1/1): R&amp;D spending of ~$12B annually represents approximately 20% of revenue, well above pharma industry average of 15%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AstraZeneca's purpose — 'pushing the boundaries of science to deliver life-changing medicines' — is specific, thoughtful, and validated by a decade of consistent strategic execution under Soriot. The science-led transformation from a shrinking mid-tier pharma to a $58.7B oncology powerhouse demonstrates the cause drives real decisions [2]. Community Impact (2/2): AstraZeneca's Young Health Programme has reached 8M+ young people in 60+ countries; the company committed to carbon negativity by 2030 across its value chain and has active programs for equitable medicine access in developing markets [3]. Employee Retention (2/2): AstraZeneca employs 96,100 people with a transformational culture recognized by Harvard Business Review; CEO Soriot's 14-year tenure and the appointment of long-serving internal leaders (CDO Brian Dummann, new AI chief) demonstrate institutional loyalty and mission alignment [2]. Insider Buying (1/2): No evidence of significant net insider buying; Soriot has substantial equity exposure through long-term incentive plans but recent transactions are not publicly highlighted as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AstraZeneca's financial profile is exceptionally strong: D/E of 61% is well below the 70% target, ROE of 22.8% exceeds the 15% threshold, and the company generated $7.9B in free cash flow on $58.7B revenue [1][4]. Forward P/E of 25.8x is elevated but justified by the estimated PEG of 1.2x given 21.6% forward EPS growth. Revenue grew 8% at constant exchange rates in 2025 (4.1% reported due to FX headwinds), with 3-year CAGR of 9.8% approaching the 10% target [1]. Profit margin of 17.4% is solid for a pharma company with heavy R&amp;D investment and reflects improving operating leverage as blockbusters scale. 2026 guidance calls for mid-to-high single-digit revenue growth and low double-digit core profit growth [1]. Liquidity is abundant at $615M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AstraZeneca under Pascal Soriot is a textbook infinite game player. The 14-year CEO tenure, science-led transformation from a shrinking company to a $58.7B oncology powerhouse, and the $80B 2030 revenue target demonstrate a leader and organization playing to keep playing. The company sacrificed near-term earnings to invest in R&amp;D ($12B annually) and transformative acquisitions (Alexion for $39B) — choices that only make sense with a long-term horizon.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AstraZeneca's cause — pushing the boundaries of science to deliver life-changing medicines — has been validated by a decade of consistent execution. Soriot inherited a company losing patent protection on its biggest drugs and chose to invest aggressively in R&amp;D and oncology rather than cut costs and return cash. The $80B 2030 target is audacious but grounded in a pipeline of 180+ projects [1]. This is a cause that drives strategic decisions and attracts talent. Score: 3/3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AstraZeneca's culture of scientific curiosity and entrepreneurial thinking is widely recognized. The company promotes internal talent development — the new CDO, AI chief, and division heads are largely long-serving employees promoted from within [2]. The 96,100-person workforce operates across 60+ countries with a transformational leadership style that Harvard Business Review has recognized. Employee surveys show 85-93% positive sentiment around AI tools, suggesting a culture of trust and openness to change [2]. Score: 2/2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AstraZeneca actively partners with rivals — the Daiichi Sankyo collaboration on Enhertu and datopotamab deruxtecan acknowledges competitors' scientific strengths and creates joint value rather than pursuing zero-sum competition. Partnerships with NVIDIA for AI, academic institutions for drug discovery, and co-development agreements across the pipeline demonstrate an infinite competitive mindset [2]. Score: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AstraZeneca's transformation from a broad-based pharma company losing patent cliffs to an oncology-focused powerhouse is one of the most significant strategic pivots in recent pharma history. The $39B Alexion acquisition to enter rare disease, the shift to biologics/ADCs from small molecules, and the $12B annual R&amp;D investment represent a fundamental reinvention of the company's identity driven by the science-led cause [1]. Score: 0/2 weighted points — while impressive, the core business model (discover, develop, sell drugs) has remained the same; this is exceptional execution within the same industry, not a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Soriot took over a company facing massive patent expirations and chose to invest $12B annually in R&amp;D while peers were cutting. The $39B Alexion acquisition was criticized as overpriced but has been validated by rare disease revenue growth. Continuing to invest in China (AZ's second-largest market) despite the detention of the China president and shareholder class action lawsuit demonstrates conviction in the long-term strategy over short-term risk avoidance [1][3]. Score: 2/2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AstraZeneca is a global pharma powerhouse that has grown revenue from $26B to $58.7B under CEO Soriot's 14-year transformation, with oncology ($25.6B, +17% YoY) now representing 44% of revenue [1]. The company targets $80B in revenue by 2030, supported by a 180+ project pipeline including high-potential ADC therapies (Enhertu, datopotamab deruxtecan) and continued growth from blockbusters Tagrisso and Imfinzi. ROE of 22.8%, D/E of 61%, and $7.9B in free cash flow demonstrate financial excellence [4]. AI deployment across drug discovery and clinical operations is compressing development timelines and improving productivity, with 93% of internal stakeholders reporting positive AI impact [2]. At a forward PEG of 1.2x with 21.6% expected EPS growth, the valuation is reasonable for a company with this growth profile and pipeline visibility.</w:t>
      </w:r>
    </w:p>
    <w:p>
      <w:pPr>
        <w:spacing w:after="120"/>
      </w:pPr>
      <w:r>
        <w:rPr>
          <w:rFonts w:ascii="Calibri" w:hAnsi="Calibri"/>
          <w:b w:val="0"/>
          <w:color w:val="3A4A28"/>
          <w:sz w:val="20"/>
        </w:rPr>
        <w:t>The primary risks are regulatory and geopolitical. The China investigations — including the detention of the China president and a US shareholder class action alleging insurance fraud and smuggling — threaten AstraZeneca's second-largest market and create legal/reputational overhang [3]. Tagrisso ($6.7B) faces eventual generic competition, and the pipeline must deliver to sustain the $80B 2030 target. Forward P/E of 25.8x and trailing P/E of 31.3x leave limited margin for error on execution [4]. Drug pricing reform (US IRA, international reference pricing) could compress margins on blockbuster oncology drugs. R&amp;D spending of $12B annually is a substantial ongoing commitment that must continue yielding clinical successes — a single major pipeline failure could materially impact the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Pipeline readouts on datopotamab deruxtecan and other ADC candidates in oncology, with potential peak sales estimates supporting the $80B 2030 revenue target [1]</w:t>
      </w:r>
    </w:p>
    <w:p>
      <w:pPr>
        <w:spacing w:before="40" w:after="40"/>
        <w:ind w:left="283"/>
      </w:pPr>
      <w:r>
        <w:rPr>
          <w:rFonts w:ascii="Calibri" w:hAnsi="Calibri"/>
          <w:b/>
          <w:color w:val="4A6B25"/>
          <w:sz w:val="20"/>
        </w:rPr>
        <w:t xml:space="preserve">2. </w:t>
      </w:r>
      <w:r>
        <w:rPr>
          <w:rFonts w:ascii="Calibri" w:hAnsi="Calibri"/>
          <w:b w:val="0"/>
          <w:color w:val="3A4A28"/>
          <w:sz w:val="20"/>
        </w:rPr>
        <w:t>AI-driven drug discovery acceleration — generative AI deployment across clinical design and manufacturing could compress timelines and improve R&amp;D productivity [2]</w:t>
      </w:r>
    </w:p>
    <w:p>
      <w:pPr>
        <w:spacing w:before="40" w:after="40"/>
        <w:ind w:left="283"/>
      </w:pPr>
      <w:r>
        <w:rPr>
          <w:rFonts w:ascii="Calibri" w:hAnsi="Calibri"/>
          <w:b/>
          <w:color w:val="4A6B25"/>
          <w:sz w:val="20"/>
        </w:rPr>
        <w:t xml:space="preserve">3. </w:t>
      </w:r>
      <w:r>
        <w:rPr>
          <w:rFonts w:ascii="Calibri" w:hAnsi="Calibri"/>
          <w:b w:val="0"/>
          <w:color w:val="3A4A28"/>
          <w:sz w:val="20"/>
        </w:rPr>
        <w:t>Rare disease growth through Alexion franchise expansion, with Ultomiris and Soliris providing durable revenue streams in complement-mediated diseases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and legal exposure — detention of China president, insurance fraud allegations, and smuggling probes threaten the company's second-largest market and create ongoing reputational risk [3]</w:t>
      </w:r>
    </w:p>
    <w:p>
      <w:pPr>
        <w:spacing w:before="40" w:after="40"/>
        <w:ind w:left="283"/>
      </w:pPr>
      <w:r>
        <w:rPr>
          <w:rFonts w:ascii="Calibri" w:hAnsi="Calibri"/>
          <w:b/>
          <w:color w:val="4A6B25"/>
          <w:sz w:val="20"/>
        </w:rPr>
        <w:t xml:space="preserve">2. </w:t>
      </w:r>
      <w:r>
        <w:rPr>
          <w:rFonts w:ascii="Calibri" w:hAnsi="Calibri"/>
          <w:b w:val="0"/>
          <w:color w:val="3A4A28"/>
          <w:sz w:val="20"/>
        </w:rPr>
        <w:t>Tagrisso patent cliff — the $6.7B lung cancer blockbuster will eventually face generic competition, requiring pipeline replacements to sustain oncology growth [1]</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risk — forward P/E of 25.8x assumes continued high-teens EPS growth; any pipeline failure or growth deceleration could trigger significant multiple contraction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is one of the most AI-resistant business models — discovering, testing, manufacturing, and distributing medicines requires physical clinical trials, regulatory approval processes (FDA, EMA), manufacturing infrastructure, and commercial relationships that AI cannot substitute [2]. AstraZeneca's oncology franchise depends on biological mechanisms, clinical evidence, and physician trust built over decades. AI actually increases demand for pharma capabilities by expanding the universe of druggable targets and compressing discovery timelines, creating a structural tailwind. AI Opportunity (1/1): AstraZeneca is actively deploying AI across its value chain — generative AI for drug discovery, clinical trial optimization, manufacturing efficiency, and commercial operations. The appointment of a dedicated Chief of AI for Science Innovation and internal survey data showing 93% of stakeholders reporting positive AI impact demonstrate meaningful AI-driven productivity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AstraZeneca FY/Q4 2025 Results — $58.7B revenue, 8% CER growth, $80B 2030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CDO Magazine, Clinical Research News, AstraZeneca Newsroom — AI strategy, CDO interview, workforce AI survey results, 2025-2026</w:t>
      </w:r>
    </w:p>
    <w:p>
      <w:pPr>
        <w:spacing w:before="20" w:after="20"/>
        <w:ind w:left="170"/>
      </w:pPr>
      <w:r>
        <w:rPr>
          <w:rFonts w:ascii="Calibri" w:hAnsi="Calibri"/>
          <w:b/>
          <w:color w:val="4A6B25"/>
          <w:sz w:val="15"/>
        </w:rPr>
        <w:t xml:space="preserve">3. </w:t>
      </w:r>
      <w:r>
        <w:rPr>
          <w:rFonts w:ascii="Calibri" w:hAnsi="Calibri"/>
          <w:b w:val="0"/>
          <w:color w:val="3A4A28"/>
          <w:sz w:val="17"/>
        </w:rPr>
        <w:t>DiCello Levitt, Fierce Pharma, Global Relay Intelligence — China regulatory probes, shareholder class action, insurance fraud allegations,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AZN (AstraZeneca),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