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w:t>
      </w:r>
      <w:r>
        <w:rPr>
          <w:rFonts w:ascii="Calibri" w:hAnsi="Calibri"/>
          <w:b/>
          <w:color w:val="1A2010"/>
          <w:sz w:val="40"/>
        </w:rPr>
        <w:t xml:space="preserve">  Agilent Technologies, Inc.</w:t>
      </w:r>
    </w:p>
    <w:p>
      <w:pPr>
        <w:spacing w:after="120"/>
      </w:pPr>
      <w:r>
        <w:rPr>
          <w:rFonts w:ascii="Calibri" w:hAnsi="Calibri"/>
          <w:b/>
          <w:color w:val="6E8450"/>
          <w:sz w:val="18"/>
        </w:rPr>
        <w:t>DIVIDEND SLEEVE · 2026-04-01 · Inspire: -73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NYSE · United States</w:t>
      </w:r>
    </w:p>
    <w:p>
      <w:pPr>
        <w:spacing w:after="80"/>
      </w:pPr>
      <w:r>
        <w:rPr>
          <w:rFonts w:ascii="Calibri" w:hAnsi="Calibri"/>
          <w:b w:val="0"/>
          <w:color w:val="3A4A28"/>
          <w:sz w:val="20"/>
        </w:rPr>
        <w:t>Agilent Technologies provides analytical instruments, software, services, and consumables for the life sciences, diagnostics, and applied chemical markets worldwide. Operating through three segments — Life Sciences and Diagnostics Group (LDG), Agilent CrossLab Group (ACG), and Applied Markets Group (AMG) — the company serves pharmaceutical, academic, government, food safety, and environmental laboratories.</w:t>
      </w:r>
    </w:p>
    <w:p>
      <w:r>
        <w:rPr>
          <w:rFonts w:ascii="Calibri" w:hAnsi="Calibri"/>
          <w:b/>
          <w:color w:val="6E8450"/>
          <w:sz w:val="18"/>
        </w:rPr>
        <w:t>18,000 Employees · https://www.agilent.com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Agilent has delivered steady but not transformative product evolution over the past five years, with incremental improvements to chromatography, mass spectrometry, and spectroscopy platforms. Q1 FY2026 showed 7% reported revenue growth, with double-digit spectroscopy growth in AMG driven by semiconductor demand [1]. The company recovered from the 2023-2024 life sciences spending downturn but has not launched a category-defining product. AI Deployment (2/2): Agilent has made meaningful AI investments — the Sigsense acquisition (2024) added AI-enabled lab operations technology that tracks instrument utilization across all vendors, and the Virtual Control/ACIES acquisition integrated AI into gas chromatography and mass spectrometry platforms [2]. At the Waldbronn Lighthouse factory, 20 Fourth Industrial Revolution use cases boosted productivity 44% and reduced quality costs 47% through AI-assisted vision inspections [2]. Market Share (1/2): Agilent is a leading player in analytical instrumentation but competes closely with Thermo Fisher, Waters, and Danaher. The company holds meaningful but not dominant share across its key categories. Product Pipeline (1/2): New CTO August Specht is driving a vision of miniaturized devices and intelligent laboratory ecosystems, though specific next-gen product launches with revenue visibility have not been disclosed beyond incremental platform upgrades [2]. R&amp;D Intensity (1/1): Agilent invests approximately 8-9% of revenue in R&amp;D, above the median for analytical instrument peers, reflecting commitment to platform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Agilent's stated purpose is to advance the quality of life through insights that improve human health, safety, and sustainability. This is clear and identifies a meaningful purpose beyond profit, but it's a fairly standard articulation for a life sciences tools company — not distinctively inspirational or proven through decades of cause-driven decisions. Community Impact (1/2): Agilent's instrument recycling and refurbishment program (5,400 instruments in 2023, up 25% YoY) and commitment to net-zero by 2050 with 50% Scope 1/2 reduction by 2030 demonstrate genuine environmental commitment [3]. The 'Four Ps' framework (People, Products, Planet, Prosperity) guides ESG strategy with 20+ years of corporate responsibility reporting. Employee Retention (2/2): The executive team is rated 'A' on Comparably and ranks in the top 10% of similar-size companies. The CEO transition from McMullen to McDonnell was orderly and internal — McDonnell rose through ACG leadership — reflecting organizational stability and a culture that develops leaders from within [2]. Agilent's six core values (innovation, integrity, trust, respect, teamwork, accountability) appear genuinely embedded. Insider Buying (1/2): Insider transactions are roughly balanced; new CEO McDonnell has significant equity-based compensation aligning his interests with shareholders, but no notable net insider buying was observed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Agilent's financial profile scores exceptionally well on the mechanical Infrastructure calculation. D/E of 51.4% is well below the 70% target, reflecting disciplined balance sheet management [4]. ROE of 19.9% exceeds the 15% target, demonstrating efficient capital deployment. Forward P/E of 17.6x is attractive for a company guiding FY2026 non-GAAP EPS of $5.90-$6.04 with 5.5-7.5% reported revenue growth [1]. Profit margin of 18.3% is close to the 20% target, with Q1 non-GAAP gross margin of 53.7% showing strong pricing power despite tariff headwinds [1]. Revenue of $6.95B in FY2025 grew 7% YoY, with 5-year CAGR of ~5.4%. Dividend metrics are strong: payout ratio of 22.1% (conservative and well below the 40% target), ~13 consecutive years of dividends paid, ~10 consecutive years of growth, and 5-year dividend growth CAGR of ~7.1% [4]. Liquidity floor cleared: 2.3M avg volume × $115.45 = $265M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Agilent demonstrates solid infinite game characteristics — an orderly CEO succession, strong team culture ranked in the top 10% of peers, and a 25+ year heritage of scientific instrumentation innovation dating back to HP's founding. The company plays to endure in its analytical instrumentation markets rather than chasing short-term trends, though it lacks the bold existential pivots that characterize the strongest infinite 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Agilent's purpose — advancing quality of life through insights that improve human health, safety, and sustainability — is genuine and connects the company's instruments to meaningful scientific outcomes [3]. The 'Four Ps' framework (People, Products, Planet, Prosperity) reflects thoughtful intentionality. However, the cause is partially lived rather than transformatively validated — Agilent hasn't made a dramatic cause-driven bet that proved out over decades like NVDA's CUDA investment. The heritage from Hewlett-Packard's test-and-measurement division provides historical depth. Score: 2 weighted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Agilent demonstrates strong organizational trust. The executive team is rated 'A' by Comparably, ranking in the top 10% of similar-size companies [2]. The CEO transition from McMullen to McDonnell was orderly and internal, reflecting a culture that develops leaders from within — McDonnell rose through CrossLab leadership over many years. Six core values (innovation, integrity, trust, respect, teamwork, accountability) appear genuinely embedded. Under McMullen, market cap nearly tripled while maintaining cultural coherence, and employees describe a collaborative environment [2]. Score: 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Agilent competes against Thermo Fisher, Waters, Danaher, and Shimadzu without framing competition in terms of market dominance or rival destruction. The company's acquisition of AI capabilities from startups like Sigsense acknowledges that external innovators may have strengths worth integrating. CTO Specht's vision of 'intelligent laboratory ecosystems' focuses on advancing the field rather than defeating specific competitors [2].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Agilent has evolved meaningfully — the 1999 HP spinoff was itself a major structural transformation, and the subsequent divestiture of the electronics measurement business (now Keysight) in 2014 to focus purely on life sciences and applied markets was a significant pivot. The current shift toward AI-enabled laboratory ecosystems and digital services represents ongoing evolution [2]. However, these are evolutionary rather than existential pivots — Agilent hasn't abandoned a profitable core business in service of a cause.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Agilent has made some courageous investments — the Sigsense and Virtual Control AI acquisitions represent forward-looking bets on intelligent laboratory ecosystems when competitors focused on traditional instrumentation [2]. The company maintained R&amp;D investment through the 2023-2024 life sciences spending downturn rather than cutting to protect earnings. However, these are measured, incremental bets — Agilent has not made a truly costly long-term sacrifice in the way Sinek's framework demands.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Agilent Technologies is recovering from the 2023-2024 life sciences spending downturn with accelerating growth — Q1 FY2026 revenue of $1.80B grew 7% reported (4.4% core), and full-year guidance of $7.3-$7.5B implies 5.5-7.5% reported growth with non-GAAP EPS of $5.90-$6.04 [1]. At 17.6x forward P/E, the stock is attractively valued for a high-quality analytical instrumentation franchise with 53.7% gross margins, 19.9% ROE, and a conservative 22% payout ratio leaving ample room for dividend growth and share buybacks [4]. CrossLab Group's recurring consumables and services revenue provides stability, while semiconductor-driven spectroscopy demand in AMG and China growth (up 6% in Q1) offer cyclical upside [1]. The AI strategy — Sigsense lab operations platform, AI-integrated chromatography/mass spec, and Lighthouse factory automation — positions Agilent for margin expansion and differentiation against Thermo Fisher and Waters [2].</w:t>
      </w:r>
    </w:p>
    <w:p>
      <w:pPr>
        <w:spacing w:after="120"/>
      </w:pPr>
      <w:r>
        <w:rPr>
          <w:rFonts w:ascii="Calibri" w:hAnsi="Calibri"/>
          <w:b w:val="0"/>
          <w:color w:val="3A4A28"/>
          <w:sz w:val="20"/>
        </w:rPr>
        <w:t>The bear case centers on cyclical exposure and modest growth. Revenue growth of 7% YoY and 5-year CAGR of ~5.4% reflect the inherent cyclicality of life sciences capital spending, which can create multi-quarter downturns as seen in 2023-2024 when revenue declined from $6.85B to $6.51B [4]. GAAP EPS of $4.53 vs. non-GAAP of ~$5.90 reveals significant adjustments. LDG revenue grew only 3% in Q1, below expectations, with academic spending remaining soft [1]. Tariff headwinds compressed Q1 gross margins by 100bps, and geopolitical risk in China (which Agilent has flagged as a growth driver) could reverse if trade tensions escalate [1]. The CEO transition to McDonnell, while orderly, creates execution risk as the new leader establishes his strategic priorities. At $33B market cap, Agilent must sustain mid-single-digit organic growth to justify current valuation, and any return to 2023-style spending freezes would pressure the stock significantly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FY2026 revenue guidance of $7.3-$7.5B with raised EPS outlook reflecting recovery in life sciences capital spending and semiconductor-driven spectroscopy demand [1]</w:t>
      </w:r>
    </w:p>
    <w:p>
      <w:pPr>
        <w:spacing w:before="40" w:after="40"/>
        <w:ind w:left="283"/>
      </w:pPr>
      <w:r>
        <w:rPr>
          <w:rFonts w:ascii="Calibri" w:hAnsi="Calibri"/>
          <w:b/>
          <w:color w:val="4A6B25"/>
          <w:sz w:val="20"/>
        </w:rPr>
        <w:t xml:space="preserve">2. </w:t>
      </w:r>
      <w:r>
        <w:rPr>
          <w:rFonts w:ascii="Calibri" w:hAnsi="Calibri"/>
          <w:b w:val="0"/>
          <w:color w:val="3A4A28"/>
          <w:sz w:val="20"/>
        </w:rPr>
        <w:t>AI-enabled lab operations platform (Sigsense) and intelligent instrument ecosystems creating differentiation and recurring software revenue beyond traditional hardware sales [2]</w:t>
      </w:r>
    </w:p>
    <w:p>
      <w:pPr>
        <w:spacing w:before="40" w:after="40"/>
        <w:ind w:left="283"/>
      </w:pPr>
      <w:r>
        <w:rPr>
          <w:rFonts w:ascii="Calibri" w:hAnsi="Calibri"/>
          <w:b/>
          <w:color w:val="4A6B25"/>
          <w:sz w:val="20"/>
        </w:rPr>
        <w:t xml:space="preserve">3. </w:t>
      </w:r>
      <w:r>
        <w:rPr>
          <w:rFonts w:ascii="Calibri" w:hAnsi="Calibri"/>
          <w:b w:val="0"/>
          <w:color w:val="3A4A28"/>
          <w:sz w:val="20"/>
        </w:rPr>
        <w:t>China revenue recovery (up 6% in Q1) and rest-of-Asia growth (up 13%) providing geographic diversification as Western markets normalize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Life sciences capital spending cyclicality — the 2023-2024 downturn demonstrated vulnerability to pharma/biotech budget freezes that can compress revenue and margins for multiple quarters [4]</w:t>
      </w:r>
    </w:p>
    <w:p>
      <w:pPr>
        <w:spacing w:before="40" w:after="40"/>
        <w:ind w:left="283"/>
      </w:pPr>
      <w:r>
        <w:rPr>
          <w:rFonts w:ascii="Calibri" w:hAnsi="Calibri"/>
          <w:b/>
          <w:color w:val="4A6B25"/>
          <w:sz w:val="20"/>
        </w:rPr>
        <w:t xml:space="preserve">2. </w:t>
      </w:r>
      <w:r>
        <w:rPr>
          <w:rFonts w:ascii="Calibri" w:hAnsi="Calibri"/>
          <w:b w:val="0"/>
          <w:color w:val="3A4A28"/>
          <w:sz w:val="20"/>
        </w:rPr>
        <w:t>Tariff and geopolitical headwinds — Q1 gross margins declined 100bps from tariffs, and China exposure creates risk if trade tensions escalate despite current 6% growth there [1]</w:t>
      </w:r>
    </w:p>
    <w:p>
      <w:pPr>
        <w:spacing w:before="40" w:after="40"/>
        <w:ind w:left="283"/>
      </w:pPr>
      <w:r>
        <w:rPr>
          <w:rFonts w:ascii="Calibri" w:hAnsi="Calibri"/>
          <w:b/>
          <w:color w:val="4A6B25"/>
          <w:sz w:val="20"/>
        </w:rPr>
        <w:t xml:space="preserve">3. </w:t>
      </w:r>
      <w:r>
        <w:rPr>
          <w:rFonts w:ascii="Calibri" w:hAnsi="Calibri"/>
          <w:b w:val="0"/>
          <w:color w:val="3A4A28"/>
          <w:sz w:val="20"/>
        </w:rPr>
        <w:t>CEO transition execution risk — new CEO McDonnell must establish strategic priorities and maintain the cultural momentum that tripled market cap under McMullen's decade-long tenure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Agilent's core business — physical analytical instruments, consumables, and field services — has significant protection from AI disruption. Chromatography columns, mass spectrometers, and spectroscopy instruments are complex physical products requiring precision manufacturing and regulatory compliance [2]. CrossLab consumables and services create recurring revenue with high switching costs. However, Agilent's software and informatics layers face growing competition from AI-native data analytics platforms, and the diagnostics business could see AI-driven workflow automation reduce instrument utilization in some applications. Agilent's own SEC filings flag AI as a business risk, noting that flawed or biased algorithms could lead to regulatory sanctions or competitive disadvantage [2]. AI Opportunity (1/1): Agilent generates meaningful AI-related revenue through the Sigsense AI-enabled lab operations platform, Virtual Control/ACIES AI integration in chromatography and mass spec platforms, and AI-powered quality control in manufacturing [2]. The Waldbronn Lighthouse factory demonstrates production-scale AI deployment with quantified 44% productivity improvement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In Vitro Fertilization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Agilent Q1 FY2026 Earnings Release — $1.80B revenue, 7% reported growth, FY2026 guidance $7.3-$7.5B revenue and $5.90-$6.04 EPS, February 25, 2026</w:t>
      </w:r>
    </w:p>
    <w:p>
      <w:pPr>
        <w:spacing w:before="20" w:after="20"/>
        <w:ind w:left="170"/>
      </w:pPr>
      <w:r>
        <w:rPr>
          <w:rFonts w:ascii="Calibri" w:hAnsi="Calibri"/>
          <w:b/>
          <w:color w:val="4A6B25"/>
          <w:sz w:val="15"/>
        </w:rPr>
        <w:t xml:space="preserve">2. </w:t>
      </w:r>
      <w:r>
        <w:rPr>
          <w:rFonts w:ascii="Calibri" w:hAnsi="Calibri"/>
          <w:b w:val="0"/>
          <w:color w:val="3A4A28"/>
          <w:sz w:val="17"/>
        </w:rPr>
        <w:t>Agilent AI strategy — Sigsense and Virtual Control acquisitions, Waldbronn Lighthouse factory (44% productivity boost), CTO August Specht vision; Spectroscopy Online, McKinsey, BusinessWire, 2024-2026</w:t>
      </w:r>
    </w:p>
    <w:p>
      <w:pPr>
        <w:spacing w:before="20" w:after="20"/>
        <w:ind w:left="170"/>
      </w:pPr>
      <w:r>
        <w:rPr>
          <w:rFonts w:ascii="Calibri" w:hAnsi="Calibri"/>
          <w:b/>
          <w:color w:val="4A6B25"/>
          <w:sz w:val="15"/>
        </w:rPr>
        <w:t xml:space="preserve">3. </w:t>
      </w:r>
      <w:r>
        <w:rPr>
          <w:rFonts w:ascii="Calibri" w:hAnsi="Calibri"/>
          <w:b w:val="0"/>
          <w:color w:val="3A4A28"/>
          <w:sz w:val="17"/>
        </w:rPr>
        <w:t>Agilent ESG reporting — Sustainalytics low risk rating (11.4), net-zero by 2050 commitment, instrument recycling program (5,400 units refurbished in 2023); CSRWire, Lab Manager, 2023-2025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 (Agilent Technologies),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