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BABA</w:t>
      </w:r>
      <w:r>
        <w:rPr>
          <w:rFonts w:ascii="Calibri" w:hAnsi="Calibri"/>
          <w:b/>
          <w:color w:val="1A2010"/>
          <w:sz w:val="40"/>
        </w:rPr>
        <w:t xml:space="preserve">  Alibaba Group Holding Limited</w:t>
      </w:r>
    </w:p>
    <w:p>
      <w:pPr>
        <w:spacing w:after="120"/>
      </w:pPr>
      <w:r>
        <w:rPr>
          <w:rFonts w:ascii="Calibri" w:hAnsi="Calibri"/>
          <w:b/>
          <w:color w:val="6E8450"/>
          <w:sz w:val="18"/>
        </w:rPr>
        <w:t>GROWTH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China</w:t>
      </w:r>
    </w:p>
    <w:p>
      <w:pPr>
        <w:spacing w:after="80"/>
      </w:pPr>
      <w:r>
        <w:rPr>
          <w:rFonts w:ascii="Calibri" w:hAnsi="Calibri"/>
          <w:b w:val="0"/>
          <w:color w:val="3A4A28"/>
          <w:sz w:val="20"/>
        </w:rPr>
        <w:t>Alibaba Group Holding Limited is China's largest e-commerce and cloud computing company, operating Taobao, Tmall, Alibaba Cloud, Alipay (via Ant Group), Cainiao logistics, and international commerce platforms including AliExpress and Lazada. Under CEO Eddie Wu since late 2023, the company has pivoted to an 'AI-driven, user-first' cloud strategy committing $53B in AI infrastructure investment over 5 years.</w:t>
      </w:r>
    </w:p>
    <w:p>
      <w:r>
        <w:rPr>
          <w:rFonts w:ascii="Calibri" w:hAnsi="Calibri"/>
          <w:b/>
          <w:color w:val="6E8450"/>
          <w:sz w:val="18"/>
        </w:rPr>
        <w:t>204,000 Employees · https://www.alibabagroup.com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Alibaba has made multiple transformative innovations — from marketplace to cloud to logistics to international commerce to AI models — earning 3 points on Innovation Track Record[1]. The Qwen open-source LLM family with 200+ models and 300M+ cumulative downloads has become the most widely adopted LLM series in China, earning 2 points for AI deployment with triple-digit growth rates for six consecutive quarters. Alibaba Cloud holds the #1 position in China cloud (approximately 33% market share) and is a top-4 global cloud provider — earning 2 points for market leadership. Pipeline includes the $53B AI infrastructure investment and Qwen model roadmap with specific development timelines — earning 0 points (well-defined strategy but not specific named products with launch dates). R&amp;D intensity is at industry-appropriate levels — earning 0 (score already maxed at 7 from the above).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Alibaba's founding mission of 'making it easy to do business anywhere' is a genuine, specific purpose that has been validated by building China's e-commerce infrastructure from scratch — scoring 3 on mission floor. The company's role in enabling 10M+ small and medium businesses in China to access global markets is meaningful community impact — scoring 1. Employee retention at Alibaba's technical cores has been stable, though the regulatory reset of 2021-2023 caused leadership departures — scoring 0. Aggressive buyback program ($19B remaining authorization through March 2027) signals management conviction in the AI transformation — scoring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BABA reported FY2025 revenue of $137.3B (+5.3% YoY) with ROE of 11.19% and D/E of 0.27[1]. Trailing P/E is 18.41 with forward P/E 19.45 — reasonable for a growth company. Profit margin ~12.4%. Revenue growth is single-digit (3-5%) despite strong cloud AI growth because e-commerce is growing slowly. EPS growth was 70.51% in FY2025 driven by cost efficiency and buybacks. Free cash flow declined 36.53%, raising concerns about capital allocation. No dividend. Liquidity: well above $1M floor. China regulatory environment creates structural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Alibaba's 25-year journey from a Hangzhou apartment to the world's largest e-commerce and China's leading AI cloud provider demonstrates genuine long-term mission consistency. However, the regulatory disruption of 2021-2023 (Jack Ma's disappearance from public view, Ant Group IPO cancellation, $2.8B antitrust fine) revealed the finite constraints of operating under Chinese Communist Party regulatory supremacy. The new leadership under Eddie Wu represents an attempt to reconnect with the founding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Alibaba's cause of 'making it easy to do business anywhere' has been validated by 25 years of enabling millions of entrepreneurs and small businesses to access global markets — a genuinely transformative contribution. CEO Wu's framing of AGI as a 'once-in-a-generation paradigm shift' that Alibaba must lead reflects infinite game thinking. Scores 2 points: genuine cause, partially validated by historical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Alibaba has maintained a core engineering and product organization despite the regulatory disruption, but the 2021-2023 period caused significant executive departures and cultural uncertainty. Eddie Wu's return to direct operational management of Cloud and China E-commerce signals consolidation. Scores 1 point: recovering but uncertain.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Alibaba's Qwen open-source strategy was explicitly designed to challenge OpenAI's dominance and compete on capability with GPT-4 and Claude — framing competition as a race to improve AI capability for Chinese and global developers. Scores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Alibaba's transformation from marketplace → cloud → AI platform is genuinely transformative. The $53B, 5-year AI infrastructure commitment represents an existential bet on cloud and AI, similar to Amazon's AWS transformation. The 1+6+N decentralization and subsequent re-centralization under Wu both represent adaptation in service of the cause. Scores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Wu's $53B AI infrastructure commitment while e-commerce growth is single-digit represents courageous long-term investment. The open-sourcing of Qwen — giving away competitive AI technology to build ecosystem — mirrors Meta's LLaMA strategy and shows mission over short-term competitive advantage.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Alibaba's bull case is the AI cloud transformation: Alibaba Cloud revenue grew 36% in late 2025 driven by AI workloads, the Qwen model family has 300M+ downloads cementing ecosystem leadership, and the company's $53B AI infrastructure commitment positions it to capture China's $119B+ AI investment wave[1]. Goldman Sachs and Morgan Stanley forecast Alibaba Cloud revenue doubling by 2028 at 23-25% CAGR. The stock trades at 18.4x trailing earnings with ROE of 11.19% — undervalued relative to comparable U.S. tech platforms, with $19B remaining in buyback authorization signaling management conviction.</w:t>
      </w:r>
    </w:p>
    <w:p>
      <w:pPr>
        <w:spacing w:after="120"/>
      </w:pPr>
      <w:r>
        <w:rPr>
          <w:rFonts w:ascii="Calibri" w:hAnsi="Calibri"/>
          <w:b w:val="0"/>
          <w:color w:val="3A4A28"/>
          <w:sz w:val="20"/>
        </w:rPr>
        <w:t>The bear case is dominated by geopolitical risk: the U.S. Department of Defense may add Alibaba to the Section 1260H military company list, which would force U.S. institutional investors to divest and create sustained selling pressure[1]. Export controls on advanced semiconductors limit Alibaba Cloud's ability to compete with AWS and Azure on cutting-edge AI compute. U.S.-China trade tensions could escalate unpredictably. The CCP's regulatory authority over all major Chinese tech companies creates a structural governance discount that may never fully close, regardless of operational performance. Free cash flow declined 36.53% in FY2025 despite strong EPS growth, suggesting capital intensity is rising faster than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Alibaba Cloud revenue accelerating toward the 36%+ growth rate in late 2025 for multiple consecutive quarters, demonstrating that AI-driven cloud demand is durable and not a one-time surge</w:t>
      </w:r>
    </w:p>
    <w:p>
      <w:pPr>
        <w:spacing w:before="40" w:after="40"/>
        <w:ind w:left="283"/>
      </w:pPr>
      <w:r>
        <w:rPr>
          <w:rFonts w:ascii="Calibri" w:hAnsi="Calibri"/>
          <w:b/>
          <w:color w:val="4A6B25"/>
          <w:sz w:val="20"/>
        </w:rPr>
        <w:t xml:space="preserve">2. </w:t>
      </w:r>
      <w:r>
        <w:rPr>
          <w:rFonts w:ascii="Calibri" w:hAnsi="Calibri"/>
          <w:b w:val="0"/>
          <w:color w:val="3A4A28"/>
          <w:sz w:val="20"/>
        </w:rPr>
        <w:t>Pentagon watchlist decision resolved favorably — avoiding the Section 1260H designation would relieve one of the most significant institutional ownership overhangs and support multiple expansion</w:t>
      </w:r>
    </w:p>
    <w:p>
      <w:pPr>
        <w:spacing w:before="40" w:after="40"/>
        <w:ind w:left="283"/>
      </w:pPr>
      <w:r>
        <w:rPr>
          <w:rFonts w:ascii="Calibri" w:hAnsi="Calibri"/>
          <w:b/>
          <w:color w:val="4A6B25"/>
          <w:sz w:val="20"/>
        </w:rPr>
        <w:t xml:space="preserve">3. </w:t>
      </w:r>
      <w:r>
        <w:rPr>
          <w:rFonts w:ascii="Calibri" w:hAnsi="Calibri"/>
          <w:b w:val="0"/>
          <w:color w:val="3A4A28"/>
          <w:sz w:val="20"/>
        </w:rPr>
        <w:t>Ant Group IPO or strategic resolution providing capital return and unlocking the value of Alibaba's fintech stake, which has been locked since the 2020 IPO cancellation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Pentagon Section 1260H designation forcing U.S. institutional investors to divest within 365 days, creating a multi-billion-dollar forced selling overhang that could collapse the ADR price regardless of fundamentals</w:t>
      </w:r>
    </w:p>
    <w:p>
      <w:pPr>
        <w:spacing w:before="40" w:after="40"/>
        <w:ind w:left="283"/>
      </w:pPr>
      <w:r>
        <w:rPr>
          <w:rFonts w:ascii="Calibri" w:hAnsi="Calibri"/>
          <w:b/>
          <w:color w:val="4A6B25"/>
          <w:sz w:val="20"/>
        </w:rPr>
        <w:t xml:space="preserve">2. </w:t>
      </w:r>
      <w:r>
        <w:rPr>
          <w:rFonts w:ascii="Calibri" w:hAnsi="Calibri"/>
          <w:b w:val="0"/>
          <w:color w:val="3A4A28"/>
          <w:sz w:val="20"/>
        </w:rPr>
        <w:t>U.S. export control escalation limiting access to NVIDIA H100/H200 GPUs for Alibaba Cloud, creating an AI compute ceiling that prevents the company from competing with leading global cloud providers on frontier AI workloads</w:t>
      </w:r>
    </w:p>
    <w:p>
      <w:pPr>
        <w:spacing w:before="40" w:after="40"/>
        <w:ind w:left="283"/>
      </w:pPr>
      <w:r>
        <w:rPr>
          <w:rFonts w:ascii="Calibri" w:hAnsi="Calibri"/>
          <w:b/>
          <w:color w:val="4A6B25"/>
          <w:sz w:val="20"/>
        </w:rPr>
        <w:t xml:space="preserve">3. </w:t>
      </w:r>
      <w:r>
        <w:rPr>
          <w:rFonts w:ascii="Calibri" w:hAnsi="Calibri"/>
          <w:b w:val="0"/>
          <w:color w:val="3A4A28"/>
          <w:sz w:val="20"/>
        </w:rPr>
        <w:t>CCP regulatory intervention — the 2021 playbook (Ant Group IPO cancellation, antitrust action, founder removal from public view) could repeat if Alibaba's AI or financial services activities attract unwanted government attention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Alibaba is one of the world's leading AI developers — its Qwen LLM family is the most widely adopted in China and a top open-source model globally — making it structurally immune to AI disruption as it is part of the AI infrastructure itself[1]. The Alibaba Cloud AI revenue growth of triple-digit rates for six consecutive quarters demonstrates genuine AI revenue contribution. The e-commerce business has meaningful AI moats through personalization, logistics optimization, and merchant tools. The primary risk to BABA is geopolitical (U.S. export controls, Pentagon watchlist considerations) rather than AI disruption. Scores 8 on AI Risk Protection and 1 for quantifiable AI revenue (triple-digit growth in AI cloud products for 6 consecutive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Phemex, 'Alibaba (BABA) Stock in 2026: China's AI Champion, Cloud Acceleration', 2026</w:t>
      </w:r>
    </w:p>
    <w:p>
      <w:pPr>
        <w:spacing w:before="20" w:after="20"/>
        <w:ind w:left="170"/>
      </w:pPr>
      <w:r>
        <w:rPr>
          <w:rFonts w:ascii="Calibri" w:hAnsi="Calibri"/>
          <w:b/>
          <w:color w:val="4A6B25"/>
          <w:sz w:val="15"/>
        </w:rPr>
        <w:t xml:space="preserve">2. </w:t>
      </w:r>
      <w:r>
        <w:rPr>
          <w:rFonts w:ascii="Calibri" w:hAnsi="Calibri"/>
          <w:b w:val="0"/>
          <w:color w:val="3A4A28"/>
          <w:sz w:val="17"/>
        </w:rPr>
        <w:t>WebProNews, 'Alibaba's $100 Billion Cloud Bet: Inside the Most Aggressive AI Spending Spree', 2026</w:t>
      </w:r>
    </w:p>
    <w:p>
      <w:pPr>
        <w:spacing w:before="20" w:after="20"/>
        <w:ind w:left="170"/>
      </w:pPr>
      <w:r>
        <w:rPr>
          <w:rFonts w:ascii="Calibri" w:hAnsi="Calibri"/>
          <w:b/>
          <w:color w:val="4A6B25"/>
          <w:sz w:val="15"/>
        </w:rPr>
        <w:t xml:space="preserve">3. </w:t>
      </w:r>
      <w:r>
        <w:rPr>
          <w:rFonts w:ascii="Calibri" w:hAnsi="Calibri"/>
          <w:b w:val="0"/>
          <w:color w:val="3A4A28"/>
          <w:sz w:val="17"/>
        </w:rPr>
        <w:t>TS2 Space, 'Alibaba (BABA) Stock on December 2, 2025: AI Cloud Boom, Pentagon Watchlist Risk', 2025</w:t>
      </w:r>
    </w:p>
    <w:p>
      <w:pPr>
        <w:spacing w:before="20" w:after="20"/>
        <w:ind w:left="170"/>
      </w:pPr>
      <w:r>
        <w:rPr>
          <w:rFonts w:ascii="Calibri" w:hAnsi="Calibri"/>
          <w:b/>
          <w:color w:val="4A6B25"/>
          <w:sz w:val="15"/>
        </w:rPr>
        <w:t xml:space="preserve">4. </w:t>
      </w:r>
      <w:r>
        <w:rPr>
          <w:rFonts w:ascii="Calibri" w:hAnsi="Calibri"/>
          <w:b w:val="0"/>
          <w:color w:val="3A4A28"/>
          <w:sz w:val="17"/>
        </w:rPr>
        <w:t>MacroTrends, 'Alibaba Revenue 2012-2025', March 2026</w:t>
      </w:r>
    </w:p>
    <w:p>
      <w:pPr>
        <w:spacing w:before="20" w:after="20"/>
        <w:ind w:left="170"/>
      </w:pPr>
      <w:r>
        <w:rPr>
          <w:rFonts w:ascii="Calibri" w:hAnsi="Calibri"/>
          <w:b/>
          <w:color w:val="4A6B25"/>
          <w:sz w:val="15"/>
        </w:rPr>
        <w:t xml:space="preserve">5. </w:t>
      </w:r>
      <w:r>
        <w:rPr>
          <w:rFonts w:ascii="Calibri" w:hAnsi="Calibri"/>
          <w:b w:val="0"/>
          <w:color w:val="3A4A28"/>
          <w:sz w:val="17"/>
        </w:rPr>
        <w:t>Motley Fool, 'A 2026 Bet on Alibaba Stock Is a Bet on AI',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