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BAC</w:t>
      </w:r>
      <w:r>
        <w:rPr>
          <w:rFonts w:ascii="Calibri" w:hAnsi="Calibri"/>
          <w:b/>
          <w:color w:val="1A2010"/>
          <w:sz w:val="40"/>
        </w:rPr>
        <w:t xml:space="preserve">  Bank of America Corporation</w:t>
      </w:r>
    </w:p>
    <w:p>
      <w:pPr>
        <w:spacing w:after="120"/>
      </w:pPr>
      <w:r>
        <w:rPr>
          <w:rFonts w:ascii="Calibri" w:hAnsi="Calibri"/>
          <w:b/>
          <w:color w:val="6E8450"/>
          <w:sz w:val="18"/>
        </w:rPr>
        <w:t>DIVIDEND SLEEVE · 2026-03-23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United States</w:t>
      </w:r>
    </w:p>
    <w:p>
      <w:pPr>
        <w:spacing w:after="80"/>
      </w:pPr>
      <w:r>
        <w:rPr>
          <w:rFonts w:ascii="Calibri" w:hAnsi="Calibri"/>
          <w:b w:val="0"/>
          <w:color w:val="3A4A28"/>
          <w:sz w:val="20"/>
        </w:rPr>
        <w:t>Bank of America is the second-largest US bank by assets, serving individual consumers, small businesses, institutional investors, and large corporations through consumer banking, wealth management, global banking, and global markets segments. The company reported $113.1 billion in 2025 revenue with $30.5 billion in net income.</w:t>
      </w:r>
    </w:p>
    <w:p>
      <w:r>
        <w:rPr>
          <w:rFonts w:ascii="Calibri" w:hAnsi="Calibri"/>
          <w:b/>
          <w:color w:val="6E8450"/>
          <w:sz w:val="18"/>
        </w:rPr>
        <w:t>213,000 Employees · https://www.bankofamerica.com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Bank of America's Erica AI virtual assistant has processed over 2 billion interactions, and the bank holds more AI/ML patents than most financial peers [2]. Investment banking fees surged 43% YoY in Q3 2025, demonstrating competitive innovation in capital markets. However, BofA is primarily a scale player rather than a disruptor, and fintech competition from Stripe, Square, and neobanks continues to pressure its retail franchise.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Bank of America's commitment to $1.5 trillion in sustainable finance by 2030 and its Community Development Banking initiatives demonstrate genuine social purpose [3]. CEO Brian Moynihan's 'responsible growth' mantra has delivered consistent results with net income up 19% YoY to $30.5 billion [1]. The bank employs 213,000 people and returned $12+ billion to shareholders in 2025.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BAC trades at 12.4x trailing P/E and 9.5x forward P/E with strong profitability — 28.4% profit margin, 10.2% ROE, and NII growing 10% YoY [1]. The 2.4% dividend yield is well-covered with a 28% payout ratio, allowing significant buyback capacity. Guided 5-7% NII growth and mid-single-digit loan growth for 2026, with operating leverage improving 560bps in Q3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Bank of America demonstrates moderate infinite game characteristics through its 'responsible growth' framework that has delivered consistent results for a decade, $1.5 trillion sustainable finance commitment, and long-term shareholder return program [1][3]. However, the emphasis on quarterly earnings beats and efficiency ratios suggests finite game discipline coexists with longer-term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BofA's 'responsible growth' framework and $1.5 trillion sustainable finance commitment provide a credible beyond-profit purpose, but the bank's primary identity remains maximizing shareholder returns within regulatory constraints rather than advancing a transformative cause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bank's 213,000-employee workforce benefits from strong training programs and the 'Pathways' initiative for internal mobility. CEO Moynihan's decade-long tenure provides stability, and the bank consistently ranks among 'best places to work' in finance, though Wall Street banking culture inherently involves high pressure.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BofA uses competition with JPMorgan Chase, Wells Fargo, and Goldman Sachs constructively — the 43% surge in investment banking fees shows BofA gaining market share rather than playing defense [1]. Competition drives innovation in digital banking and wealth management.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BofA has been slow to pivot relative to peers — its Merrill Lynch wealth management integration took years, and digital banking adoption lagged fintech competitors. The bank's massive size creates institutional inertia that limits rapid strategic shifts.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Moynihan's consistent 'responsible growth' messaging through multiple market cycles and the $1.5 trillion sustainable finance commitment show steady courage, but BofA rarely takes industry-first positions on controversial issues or disruptive technologies.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Bank of America is executing a sustained earnings growth cycle with net income up 19% YoY to $30.5 billion, NII growing 10%, and investment banking fees surging 43% [1]. At 9.5x forward P/E with a well-covered 2.4% yield (28% payout), strong capital ratios, and guided 5-7% NII growth for 2026, BAC offers compelling value for a systematically important financial institution. Operating leverage improvement of 560bps in Q3 and efficiency ratio below 62% demonstrate margin expansion potential, supported by 213,000 employees across the world's most diversified banking franchise.</w:t>
      </w:r>
    </w:p>
    <w:p>
      <w:pPr>
        <w:spacing w:after="120"/>
      </w:pPr>
      <w:r>
        <w:rPr>
          <w:rFonts w:ascii="Calibri" w:hAnsi="Calibri"/>
          <w:b w:val="0"/>
          <w:color w:val="3A4A28"/>
          <w:sz w:val="20"/>
        </w:rPr>
        <w:t>The bear case includes sensitivity to the interest rate cycle — any rate cuts could reverse NII momentum, and the stock trades 8% below its 50-day SMA reflecting macro uncertainty [2]. Credit quality risks are rising as consumer delinquencies normalize from pandemic lows, and a recession would accelerate loan losses. The bank's massive $200+ billion market cap limits upside, regulatory capital requirements constrain returns, and the commercial real estate portfolio carries concentration risk as office vacancies persist. Competition from JPMorgan's superior technology platform and fintech disruptors continues to pressure market share.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5-7% NII growth guidance for 2026 driven by loan growth and rate positioning could push full-year EPS above $5.00 for the first time</w:t>
      </w:r>
    </w:p>
    <w:p>
      <w:pPr>
        <w:spacing w:before="40" w:after="40"/>
        <w:ind w:left="283"/>
      </w:pPr>
      <w:r>
        <w:rPr>
          <w:rFonts w:ascii="Calibri" w:hAnsi="Calibri"/>
          <w:b/>
          <w:color w:val="4A6B25"/>
          <w:sz w:val="20"/>
        </w:rPr>
        <w:t xml:space="preserve">2. </w:t>
      </w:r>
      <w:r>
        <w:rPr>
          <w:rFonts w:ascii="Calibri" w:hAnsi="Calibri"/>
          <w:b w:val="0"/>
          <w:color w:val="3A4A28"/>
          <w:sz w:val="20"/>
        </w:rPr>
        <w:t>Investment banking fee momentum (43% YoY Q3 growth) signals market share gains that could sustain through an active M&amp;A and capital markets cycle</w:t>
      </w:r>
    </w:p>
    <w:p>
      <w:pPr>
        <w:spacing w:before="40" w:after="40"/>
        <w:ind w:left="283"/>
      </w:pPr>
      <w:r>
        <w:rPr>
          <w:rFonts w:ascii="Calibri" w:hAnsi="Calibri"/>
          <w:b/>
          <w:color w:val="4A6B25"/>
          <w:sz w:val="20"/>
        </w:rPr>
        <w:t xml:space="preserve">3. </w:t>
      </w:r>
      <w:r>
        <w:rPr>
          <w:rFonts w:ascii="Calibri" w:hAnsi="Calibri"/>
          <w:b w:val="0"/>
          <w:color w:val="3A4A28"/>
          <w:sz w:val="20"/>
        </w:rPr>
        <w:t>Operating leverage improvements targeting sub-60% efficiency ratio would expand margins and support dividend growth above the 10% 5-year CAGR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Reserve rate cuts could compress NII growth below 5% guidance, reversing the primary earnings growth driver</w:t>
      </w:r>
    </w:p>
    <w:p>
      <w:pPr>
        <w:spacing w:before="40" w:after="40"/>
        <w:ind w:left="283"/>
      </w:pPr>
      <w:r>
        <w:rPr>
          <w:rFonts w:ascii="Calibri" w:hAnsi="Calibri"/>
          <w:b/>
          <w:color w:val="4A6B25"/>
          <w:sz w:val="20"/>
        </w:rPr>
        <w:t xml:space="preserve">2. </w:t>
      </w:r>
      <w:r>
        <w:rPr>
          <w:rFonts w:ascii="Calibri" w:hAnsi="Calibri"/>
          <w:b w:val="0"/>
          <w:color w:val="3A4A28"/>
          <w:sz w:val="20"/>
        </w:rPr>
        <w:t>Consumer credit deterioration — delinquency rates normalizing from pandemic lows could require material reserve builds, impacting earnings by $2-3B</w:t>
      </w:r>
    </w:p>
    <w:p>
      <w:pPr>
        <w:spacing w:before="40" w:after="40"/>
        <w:ind w:left="283"/>
      </w:pPr>
      <w:r>
        <w:rPr>
          <w:rFonts w:ascii="Calibri" w:hAnsi="Calibri"/>
          <w:b/>
          <w:color w:val="4A6B25"/>
          <w:sz w:val="20"/>
        </w:rPr>
        <w:t xml:space="preserve">3. </w:t>
      </w:r>
      <w:r>
        <w:rPr>
          <w:rFonts w:ascii="Calibri" w:hAnsi="Calibri"/>
          <w:b w:val="0"/>
          <w:color w:val="3A4A28"/>
          <w:sz w:val="20"/>
        </w:rPr>
        <w:t>Commercial real estate exposure in a persistently weak office market could generate unexpected losses if vacancy rates exceed 20%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both an enabler and a moderate threat for Bank of America. The Erica AI assistant demonstrates successful internal AI deployment, and AI-driven fraud detection, credit underwriting, and risk management improve efficiency [2]. However, AI-powered fintech competitors could disrupt retail banking, automated trading could compress markets revenue, and AI democratizes investment advisory — threatening BofA's wealth management fees.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Bank of America Q4 2025 Earnings Release, January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BAC key statistics,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Bank of America ESG and Sustainable Finance disclosures,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