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BAH</w:t>
      </w:r>
      <w:r>
        <w:rPr>
          <w:rFonts w:ascii="Calibri" w:hAnsi="Calibri"/>
          <w:b/>
          <w:color w:val="1A2010"/>
          <w:sz w:val="40"/>
        </w:rPr>
        <w:t xml:space="preserve">  Booz Allen Hamilton Holding Corporation</w:t>
      </w:r>
    </w:p>
    <w:p>
      <w:pPr>
        <w:spacing w:after="120"/>
      </w:pPr>
      <w:r>
        <w:rPr>
          <w:rFonts w:ascii="Calibri" w:hAnsi="Calibri"/>
          <w:b/>
          <w:color w:val="6E8450"/>
          <w:sz w:val="18"/>
        </w:rPr>
        <w:t>DIVIDEND SLEEVE · 2026-04-13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NYSE · United States</w:t>
      </w:r>
    </w:p>
    <w:p>
      <w:pPr>
        <w:spacing w:after="80"/>
      </w:pPr>
      <w:r>
        <w:rPr>
          <w:rFonts w:ascii="Calibri" w:hAnsi="Calibri"/>
          <w:b w:val="0"/>
          <w:color w:val="3A4A28"/>
          <w:sz w:val="20"/>
        </w:rPr>
        <w:t>Booz Allen Hamilton is the largest pure-play consulting and technology services provider to the U.S. federal government, with 98% of revenue from federal agencies including DoD, intelligence, and civil agencies. The firm is the prime digital integrator for the Department of Defense and the leading provider of AI to the U.S. federal government.</w:t>
      </w:r>
    </w:p>
    <w:p>
      <w:r>
        <w:rPr>
          <w:rFonts w:ascii="Calibri" w:hAnsi="Calibri"/>
          <w:b/>
          <w:color w:val="6E8450"/>
          <w:sz w:val="18"/>
        </w:rPr>
        <w:t>33,500 Employees · https://www.boozallen.com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Q3 FY2026 revenue was $2.6B, down 10.2% YoY, reflecting government shutdown and slower awards environment [1]. FY2026 guidance tightened to lower end of $11.3-$11.4B revenue range; Adjusted EBITDA $1.195-$1.215B; ADEPS $5.95-$6.15 [1]. Shutdown impact estimated at $50M revenue and $20M profit [1]. AI Deployment (2/2): Positioned as 'the leading provider of AI to the U.S. federal government' and prime digital integrator for DoD — BAH is structurally embedded in federal AI modernization including AI-for-intelligence and AI-for-cyber programs [2]. Market Share (2/2): Largest pure-play federal consulting firm; 98% federal revenue concentration gives dominant position in a market that is itself at risk from DOGE cuts [2]. Pipeline (0/2): DOGE-driven contract reviews, a $21M Treasury contract termination over the Littlejohn data breach, and 2,500 layoffs (~7% of workforce) constrain pipeline visibility [2][3]. R&amp;D Intensity (0/1): Services business with limited R&amp;D; spend is client-funded rather than internal capital.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'Empower people to change the world' is a strong legacy mission; serving U.S. national security and civil agencies provides genuine purpose, though the DOGE narrative frames BAH as 'wasteful consulting' in the political discourse [2]. Community Impact (1/2): 33,500 employees, substantial veteran workforce, and meaningful national-security contribution balanced against the Littlejohn data breach affecting ~406,000 taxpayers — a severe social/governance failure [3]. Employee Retention (1/2): Glassdoor rating 4.0/5 across 10,145 reviews and Rozanski approval rating 94%; however, 2,500 layoffs (7% of workforce) and employee complaints about 'cliquey' promotions and 'poor work/life balance' [2]. Insider Buying (0/2): Layoffs and contract losses do not support insider-buy conviction; $150M run-rate cost reduction is defensive rather than offensive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FY2026 revenue guidance of $11.3-$11.4B (tightening to low end) and ADEPS of $5.95-$6.15 at ~$78 share price gives forward P/E of ~12.7x — modest, reflecting DOGE/shutdown overhang [4]. Trailing P/E of 11.8x with 2.8% dividend yield ($2.36 annualized) makes BAH a reasonably valued defensive name [4]. Revenue down 10.2% YoY in Q3 is concerning but guidance suggests stabilization [1]. $150M run-rate cost reduction sets up FY2027 profit improvement [1]. Balance sheet is manageable for services model; leverage is moderate. ROE historically strong (20%+) due to asset-light model. Profit margin is ~7-8%. Liquidity floor easily cleared: ~$9.4B market cap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Booz Allen is a century-old firm with deep national-security mission history, but the Littlejohn data breach (affecting 406,000 taxpayers), DOGE contract cancellations, and 2,500 layoffs reveal governance and trust failures that hurt the infinite game assessment. Rozanski's long tenure and the dividend track record offer stability, but the firm's near-term posture is defensive.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Serving U.S. national security, intelligence, and civil agency missions is a credible cause with century-plus legacy. However, the Littlejohn data breach exposed the cause to severe credibility damage: the firm failed to protect confidential taxpayer data for 406,000 Americans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4.0/5 across 10,145 reviews and Rozanski 94% approval rating signal positive sentiment, but 2,500 layoffs (7% of workforce), 'cliquey' promotion complaints, and 'leadership disconnected' feedback reveal strained team trust during DOGE-driven restructuring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with Accenture Federal, Leidos, SAIC, CACI, and big consulting (Deloitte, McKinsey). Accenture, Deloitte, IBM, and Booz Allen are all under DOGE scrutiny — rivals face similar headwinds [2]. BAH's prime integrator status for DoD AI is a differentiator.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 historically pivoted from pure management consulting to digital/AI-heavy services. The current $150M run-rate cost reduction and 7% workforce cut is a survival-mode adaptation rather than an offensive pivot [1]. Need to demonstrate more fundamental AI-era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Rozanski continues to publicly defend federal AI/quantum investment despite DOGE pressure [2], and the firm narrowed FY2026 guidance transparently to reflect shutdown impact [1]. However, the failure to prevent the multi-year Littlejohn data breach (2018-2020) represents a governance failure under Rozanski's watch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Booz Allen is the leading pure-play federal consulting/technology firm positioned as the prime digital integrator for DoD and 'the leading provider of AI to the U.S. federal government' [2]. At ~$78 and 11.8x trailing earnings with a 2.8% dividend yield ($2.36 annualized), the stock trades at a valuation that already discounts DOGE-driven contract cancellations, the Treasury Department's $21M contract termination, and the government shutdown [3][4]. FY2026 guidance of $11.3-$11.4B revenue and $5.95-$6.15 ADEPS implies relatively stable operating performance, and $150M of run-rate cost reductions set up FY2027 margin improvement [1]. The firm's entrenched positions in classified DoD and intelligence-community AI programs are structurally sticky, and a friendlier defense-spending environment post-DOGE normalization could drive multiple re-rating.</w:t>
      </w:r>
    </w:p>
    <w:p>
      <w:pPr>
        <w:spacing w:after="120"/>
      </w:pPr>
      <w:r>
        <w:rPr>
          <w:rFonts w:ascii="Calibri" w:hAnsi="Calibri"/>
          <w:b w:val="0"/>
          <w:color w:val="3A4A28"/>
          <w:sz w:val="20"/>
        </w:rPr>
        <w:t>The bear case is severe and near-term. Revenue declined 10.2% YoY in Q3 FY2026, DOGE contract reviews targeting consultancies continue, and the Treasury Department's January 2026 termination of $21M in contracts over the Littlejohn data breach (which affected ~406,000 taxpayers over 2018-2020) raises systemic governance concerns that could catalyze additional agency cancellations [2][3]. 2,500 announced layoffs (7% of workforce) signal meaningful demand deterioration. 98% federal revenue concentration creates single-customer risk unlike any commercial-market peer. Generative AI threatens billable-hour consulting economics, potentially compressing margins even if contract volumes recover. The Inspire Insight score of -49 (MISALIGNED) reflects faith-alignment concerns, and ESG-sensitive investors may screen out. The combination of declining revenue, data breach fallout, DOGE overhang, and AI billable-hour risk warrants a WATCH pending stabilization.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shutdown resolution and FY2027 budget normalization could restore the awards environment, with $150M run-rate cost savings supporting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DoD AI/quantum program growth — BAH's prime digital integrator status positions for multi-year AI contract wins even under budget pressure [2]</w:t>
      </w:r>
    </w:p>
    <w:p>
      <w:pPr>
        <w:spacing w:before="40" w:after="40"/>
        <w:ind w:left="283"/>
      </w:pPr>
      <w:r>
        <w:rPr>
          <w:rFonts w:ascii="Calibri" w:hAnsi="Calibri"/>
          <w:b/>
          <w:color w:val="4A6B25"/>
          <w:sz w:val="20"/>
        </w:rPr>
        <w:t xml:space="preserve">3. </w:t>
      </w:r>
      <w:r>
        <w:rPr>
          <w:rFonts w:ascii="Calibri" w:hAnsi="Calibri"/>
          <w:b w:val="0"/>
          <w:color w:val="3A4A28"/>
          <w:sz w:val="20"/>
        </w:rPr>
        <w:t>Potential multiple re-rating if DOGE scrutiny moderates or if BAH demonstrates resilience on FY2027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Charles Littlejohn data breach fallout — Treasury Department's $21M contract termination could catalyze other agency cancellations and class-action liability for the 406,000 affected taxpayers [3]</w:t>
      </w:r>
    </w:p>
    <w:p>
      <w:pPr>
        <w:spacing w:before="40" w:after="40"/>
        <w:ind w:left="283"/>
      </w:pPr>
      <w:r>
        <w:rPr>
          <w:rFonts w:ascii="Calibri" w:hAnsi="Calibri"/>
          <w:b/>
          <w:color w:val="4A6B25"/>
          <w:sz w:val="20"/>
        </w:rPr>
        <w:t xml:space="preserve">2. </w:t>
      </w:r>
      <w:r>
        <w:rPr>
          <w:rFonts w:ascii="Calibri" w:hAnsi="Calibri"/>
          <w:b w:val="0"/>
          <w:color w:val="3A4A28"/>
          <w:sz w:val="20"/>
        </w:rPr>
        <w:t>DOGE contract reviews and 98% federal revenue concentration create unique single-customer demand risk; 2,500 layoffs signal pipeline deterioration [2]</w:t>
      </w:r>
    </w:p>
    <w:p>
      <w:pPr>
        <w:spacing w:before="40" w:after="40"/>
        <w:ind w:left="283"/>
      </w:pPr>
      <w:r>
        <w:rPr>
          <w:rFonts w:ascii="Calibri" w:hAnsi="Calibri"/>
          <w:b/>
          <w:color w:val="4A6B25"/>
          <w:sz w:val="20"/>
        </w:rPr>
        <w:t xml:space="preserve">3. </w:t>
      </w:r>
      <w:r>
        <w:rPr>
          <w:rFonts w:ascii="Calibri" w:hAnsi="Calibri"/>
          <w:b w:val="0"/>
          <w:color w:val="3A4A28"/>
          <w:sz w:val="20"/>
        </w:rPr>
        <w:t>Generative AI threatening billable-hour consulting economics — even if contract volumes recover, labor-arbitrage margins could compress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BAH is a double-edged AI story. On one hand, BAH is positioned as 'the leading provider of AI to the U.S. federal government' — giving it direct participation in federal AI modernization [2]. On the other hand, generative AI threatens traditional consulting hours: AI agents can perform significant portions of analyst and technical work that BAH bills hourly, compressing labor-arbitrage margins. The business model's AI exposure is genuinely mixed. AI Opportunity (1/1): Prime integrator status for DoD and intelligence community AI programs creates meaningful long-term AI contract opportunity if BAH can pivot faster than billable-hour erosion [2]. CEO Rozanski remains bullish on federal AI/quantum demand despite DOGE pressure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Booz Allen Hamilton Q3 FY2026 Earnings Release — $2.6B revenue (down 10.2%), FY2026 guidance tightening, January 2026</w:t>
      </w:r>
    </w:p>
    <w:p>
      <w:pPr>
        <w:spacing w:before="20" w:after="20"/>
        <w:ind w:left="170"/>
      </w:pPr>
      <w:r>
        <w:rPr>
          <w:rFonts w:ascii="Calibri" w:hAnsi="Calibri"/>
          <w:b/>
          <w:color w:val="4A6B25"/>
          <w:sz w:val="15"/>
        </w:rPr>
        <w:t xml:space="preserve">2. </w:t>
      </w:r>
      <w:r>
        <w:rPr>
          <w:rFonts w:ascii="Calibri" w:hAnsi="Calibri"/>
          <w:b w:val="0"/>
          <w:color w:val="3A4A28"/>
          <w:sz w:val="17"/>
        </w:rPr>
        <w:t>Fortune / Reuters coverage of Booz Allen DOGE contract reviews, layoffs, and CEO Horacio Rozanski commentary, 2025-2026</w:t>
      </w:r>
    </w:p>
    <w:p>
      <w:pPr>
        <w:spacing w:before="20" w:after="20"/>
        <w:ind w:left="170"/>
      </w:pPr>
      <w:r>
        <w:rPr>
          <w:rFonts w:ascii="Calibri" w:hAnsi="Calibri"/>
          <w:b/>
          <w:color w:val="4A6B25"/>
          <w:sz w:val="15"/>
        </w:rPr>
        <w:t xml:space="preserve">3. </w:t>
      </w:r>
      <w:r>
        <w:rPr>
          <w:rFonts w:ascii="Calibri" w:hAnsi="Calibri"/>
          <w:b w:val="0"/>
          <w:color w:val="3A4A28"/>
          <w:sz w:val="17"/>
        </w:rPr>
        <w:t>U.S. Treasury press release and CNN/CNBC coverage — Treasury terminates $21M in Booz Allen contracts over Littlejohn data breach affecting ~406,000 taxpayers, January 26,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BAH quote, P/E ratio, dividend yield, market cap, accessed April 13,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