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BALL</w:t>
      </w:r>
      <w:r>
        <w:rPr>
          <w:rFonts w:ascii="Calibri" w:hAnsi="Calibri"/>
          <w:b/>
          <w:color w:val="1A2010"/>
          <w:sz w:val="40"/>
        </w:rPr>
        <w:t xml:space="preserve">  Ball Corporation</w:t>
      </w:r>
    </w:p>
    <w:p>
      <w:pPr>
        <w:spacing w:after="120"/>
      </w:pPr>
      <w:r>
        <w:rPr>
          <w:rFonts w:ascii="Calibri" w:hAnsi="Calibri"/>
          <w:b/>
          <w:color w:val="6E8450"/>
          <w:sz w:val="18"/>
        </w:rPr>
        <w:t>GROWTH SLEEVE · 2026-04-16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Ball Corporation supplies aluminum packaging products for the beverage, personal care, and household products industries globally. The company manufactures and sells aluminum beverage containers, extruded aluminum aerosol containers, recloseable aluminum bottles, aluminum cups, and aluminum slugs. Founded in 1880 and headquartered in Westminster, Colorado.</w:t>
      </w:r>
    </w:p>
    <w:p>
      <w:r>
        <w:rPr>
          <w:rFonts w:ascii="Calibri" w:hAnsi="Calibri"/>
          <w:b/>
          <w:color w:val="6E8450"/>
          <w:sz w:val="18"/>
        </w:rPr>
        <w:t>16,000 Employees · https://www.ball.com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Ball divested its aerospace segment to BAE Systems in 2024 for $5.6B, simplifying the business to pure-play aluminum packaging — a strategic pivot but incremental rather than transformative [1]. The company has focused on aluminum cups and recloseable bottles as new product extensions. AI Deployment (0/2): No evidence of AI-powered products or quantified AI-driven efficiency gains in Ball's manufacturing operations. A new CIO with digital transformation experience was appointed in 2025, but no measurable AI results reported [2]. Market Share (2/2): Ball is one of the top two global aluminum beverage container manufacturers alongside Crown Holdings, with dominant market share across North America, South America, and EMEA [1][3]. Pipeline (1/2): Ball continues to expand aluminum packaging capacity in emerging markets and push sustainability-driven product innovations like infinitely recyclable aluminum cups, but no specific next-generation product launches with revenue visibility [1]. R&amp;D Intensity (1/1): R&amp;D spending is at industry-average levels for packaging, with focus on lightweighting technology and sustainable packaging innovation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Ball's mission centers on 'providing innovative, sustainable aluminum packaging solutions' — clear about what they do but not distinctive or inspiring beyond the industry norm. The sustainability focus is genuine but shared by all major packaging peers. Community Impact (2/2): Ball has invested significantly in sustainability with a 21% reduction in absolute GHG emissions since 2017, earned EcoVadis silver medal in 2025, and ranked #20 on Barron's 100 Most Sustainable Companies [4]. The company's 2030 sustainability goals include ambitious recycling and emissions targets. Employee Retention (1/2): Ball employs 16,000 people with stable workforce following the aerospace divestiture. Executive team ratings in top 50% for companies with 10,000+ employees on Comparably, though no standout retention data [2]. Insider Buying (0/2): No insider purchases in the last 6 months, with zero net shares purchased. Leadership holds 697,122 shares but has not been actively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Ball's financial profile is strong on valuation and capital efficiency metrics. Forward P/E of 14.0x is attractive for the packaging sector, and ROE of 16.1% exceeds the 15% target [5]. Revenue grew 16.2% YoY in Q4 2025 to $3.35B driven by stronger global aluminum packaging volumes and favorable pricing [1]. However, the 3-year revenue CAGR of -0.5% reflects the aerospace divestiture impact and 2023-2024 volume softness. Profit margin of 6.9% is typical for packaging but well below the 20% target [5]. D/E of 136% reflects $7.4B in debt against a moderate equity base, though the company generated record $956M adjusted free cash flow in 2025 [1]. Forward PEG of ~1.08 is near-optimal. Liquidity floor easily cleared: 2.2M avg volume x $62.76 = $138.6M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Ball Corporation exhibits mixed infinite game characteristics. The 146-year history and commitment to sustainable aluminum packaging demonstrate longevity, but the recent CEO transition and flat dividend growth suggest a company managing for near-term returns rather than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Ball's Just Cause centers on sustainable aluminum packaging as an alternative to plastic — a genuine and enduring purpose validated by the company's 2030 sustainability goals, 21% emissions reduction since 2017, and 146 years of continuous operation [4]. The cause is specific to Ball's business and connects to a real societal need (reducing plastic waste), earning 2 points. However, it hasn't been tested through the kind of transformative crisis that earns a perfect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Ball's workforce appears stable with executive team ratings in the top 50% for large companies [2]. The November 2025 CEO transition from Daniel Fisher to Ronald Lewis — an internal promotion of the Chief Supply Chain Officer — suggests organizational continuity and internal trust [2]. However, the rapid leadership change and lack of standout cultural evidence limits this to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Ball competes directly with Crown Holdings and Ardagh in aluminum packaging and has consistently used competitive pressure to drive efficiency improvements and sustainability leadership. Management commentary focuses on improving operations and serving customers rather than defeating competitors, evidenced by industry collaboration on recycling infrastructure [3]. Earns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2024 divestiture of Ball Aerospace to BAE Systems for $5.6B was a significant strategic pivot — Ball walked away from a profitable, decades-old business to become a pure-play packaging company [1]. This was an incremental but meaningful transformation that simplified the business and returned capital to shareholders. Earns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Selling Ball Aerospace — a high-margin defense business — required courage to abandon a profitable segment in favor of focus and simplification [1]. The company returned $1.54B to shareholders in 2025 through buybacks and dividends, demonstrating capital discipline. However, the flat $0.80 annual dividend since 2022 and lack of aggressive reinvestment suggest cautious rather than bold leadership. Earns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Ball Corporation is a well-positioned pure-play aluminum packaging leader trading at an attractive 14.0x forward P/E with 10%+ EPS growth guidance for 2026 [1]. Q4 2025 revenue of $3.35B (up 16.2% YoY) demonstrates volume recovery across global markets, and the company generated record $956M adjusted free cash flow in 2025 while returning $1.54B to shareholders [1]. The secular shift from plastic to aluminum packaging provides a multi-year demand tailwind, supported by Ball's global scale, long-term customer contracts with major beverage companies, and sustainability leadership (21% emissions reduction since 2017) [4]. Forward PEG near 1.0 suggests fair value for the growth trajectory, and the aerospace divestiture has created a cleaner, more focused investment profile.</w:t>
      </w:r>
    </w:p>
    <w:p>
      <w:pPr>
        <w:spacing w:after="120"/>
      </w:pPr>
      <w:r>
        <w:rPr>
          <w:rFonts w:ascii="Calibri" w:hAnsi="Calibri"/>
          <w:b w:val="0"/>
          <w:color w:val="3A4A28"/>
          <w:sz w:val="20"/>
        </w:rPr>
        <w:t>The bear case centers on Ball's thin profit margins and leverage. Profit margin of 6.9% leaves minimal room for error in a commodity-adjacent business where aluminum input costs fluctuate significantly [5]. D/E of 136% and $7.4B in total debt create interest rate sensitivity, though $883M in free cash flow provides adequate coverage. The 3-year revenue CAGR of -0.5% reflects the volatility of packaging volumes and the loss of aerospace diversification. The dividend has been frozen at $0.80 annually since 2022, signaling that management prioritizes debt reduction and buybacks over income growth. A new CEO (Ronald Lewis, November 2025) introduces transition risk, and tariff uncertainty on imported aluminum could compress margins further [2]. Competition from Crown Holdings and private-label manufacturers limits pricing power in a scale-driven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global volume recovery in aluminum beverage containers with Q4 2025 showing 16.2% revenue growth, driven by market share gains and new capacity [1]</w:t>
      </w:r>
    </w:p>
    <w:p>
      <w:pPr>
        <w:spacing w:before="40" w:after="40"/>
        <w:ind w:left="283"/>
      </w:pPr>
      <w:r>
        <w:rPr>
          <w:rFonts w:ascii="Calibri" w:hAnsi="Calibri"/>
          <w:b/>
          <w:color w:val="4A6B25"/>
          <w:sz w:val="20"/>
        </w:rPr>
        <w:t xml:space="preserve">2. </w:t>
      </w:r>
      <w:r>
        <w:rPr>
          <w:rFonts w:ascii="Calibri" w:hAnsi="Calibri"/>
          <w:b w:val="0"/>
          <w:color w:val="3A4A28"/>
          <w:sz w:val="20"/>
        </w:rPr>
        <w:t>10%+ EPS growth guidance for 2026 with adjusted EPS expected at $4.03, supported by operating leverage and cost optimization [1]</w:t>
      </w:r>
    </w:p>
    <w:p>
      <w:pPr>
        <w:spacing w:before="40" w:after="40"/>
        <w:ind w:left="283"/>
      </w:pPr>
      <w:r>
        <w:rPr>
          <w:rFonts w:ascii="Calibri" w:hAnsi="Calibri"/>
          <w:b/>
          <w:color w:val="4A6B25"/>
          <w:sz w:val="20"/>
        </w:rPr>
        <w:t xml:space="preserve">3. </w:t>
      </w:r>
      <w:r>
        <w:rPr>
          <w:rFonts w:ascii="Calibri" w:hAnsi="Calibri"/>
          <w:b w:val="0"/>
          <w:color w:val="3A4A28"/>
          <w:sz w:val="20"/>
        </w:rPr>
        <w:t>Secular plastic-to-aluminum substitution trend accelerating as regulatory pressure on single-use plastics intensifies globally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6.9% profit margin in commodity-adjacent packaging business — aluminum cost spikes or customer pricing pressure could materially compress earnings [5]</w:t>
      </w:r>
    </w:p>
    <w:p>
      <w:pPr>
        <w:spacing w:before="40" w:after="40"/>
        <w:ind w:left="283"/>
      </w:pPr>
      <w:r>
        <w:rPr>
          <w:rFonts w:ascii="Calibri" w:hAnsi="Calibri"/>
          <w:b/>
          <w:color w:val="4A6B25"/>
          <w:sz w:val="20"/>
        </w:rPr>
        <w:t xml:space="preserve">2. </w:t>
      </w:r>
      <w:r>
        <w:rPr>
          <w:rFonts w:ascii="Calibri" w:hAnsi="Calibri"/>
          <w:b w:val="0"/>
          <w:color w:val="3A4A28"/>
          <w:sz w:val="20"/>
        </w:rPr>
        <w:t>D/E of 136% and $7.4B total debt create interest rate sensitivity and limit financial flexibility during downturns [5]</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with Ronald Lewis taking over in November 2025 — new leadership must maintain operational discipline while driving growth in a mature industry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Ball's core business — manufacturing aluminum beverage containers at massive scale — is fundamentally physical-world infrastructure that AI cannot displace [1]. Aluminum cans require stamping, forming, coating, and printing at high speeds on specialized production lines. AI poses zero substitution risk to this business. In fact, growing AI data center deployments increase electricity consumption, which indirectly supports beverage consumption at workplaces and tech campuses. The packaging industry's moats are physical plants, long-term customer contracts, and proximity to fillers — none of which AI can replicate [3]. AI Opportunity (0/1): Ball does not generate revenue from AI products or services. While AI could optimize manufacturing processes and supply chain logistics, no quantified AI revenue contribution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Ball Corporation Q4 and Full-Year 2025 Earnings Release — $3.35B quarterly revenue, record $956M adjusted FCF, 16.2% YoY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Ball Corporation Board and Leadership Transitions announcement — Ronald Lewis appointed CEO, November 2025</w:t>
      </w:r>
    </w:p>
    <w:p>
      <w:pPr>
        <w:spacing w:before="20" w:after="20"/>
        <w:ind w:left="170"/>
      </w:pPr>
      <w:r>
        <w:rPr>
          <w:rFonts w:ascii="Calibri" w:hAnsi="Calibri"/>
          <w:b/>
          <w:color w:val="4A6B25"/>
          <w:sz w:val="15"/>
        </w:rPr>
        <w:t xml:space="preserve">3. </w:t>
      </w:r>
      <w:r>
        <w:rPr>
          <w:rFonts w:ascii="Calibri" w:hAnsi="Calibri"/>
          <w:b w:val="0"/>
          <w:color w:val="3A4A28"/>
          <w:sz w:val="17"/>
        </w:rPr>
        <w:t>Ball Corporation 10-K Annual Report, FY2025 — packaging market position, competitive landscape, operations</w:t>
      </w:r>
    </w:p>
    <w:p>
      <w:pPr>
        <w:spacing w:before="20" w:after="20"/>
        <w:ind w:left="170"/>
      </w:pPr>
      <w:r>
        <w:rPr>
          <w:rFonts w:ascii="Calibri" w:hAnsi="Calibri"/>
          <w:b/>
          <w:color w:val="4A6B25"/>
          <w:sz w:val="15"/>
        </w:rPr>
        <w:t xml:space="preserve">4. </w:t>
      </w:r>
      <w:r>
        <w:rPr>
          <w:rFonts w:ascii="Calibri" w:hAnsi="Calibri"/>
          <w:b w:val="0"/>
          <w:color w:val="3A4A28"/>
          <w:sz w:val="17"/>
        </w:rPr>
        <w:t>Ball Corporation Sustainability Report 2024 — 21% GHG reduction since 2017, EcoVadis silver medal, Barron's #20 Most Sustainable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BALL (Ball Corporation),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