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BAM</w:t>
      </w:r>
      <w:r>
        <w:rPr>
          <w:rFonts w:ascii="Calibri" w:hAnsi="Calibri"/>
          <w:b/>
          <w:color w:val="1A2010"/>
          <w:sz w:val="40"/>
        </w:rPr>
        <w:t xml:space="preserve">  Brookfield Asset Management Ltd.</w:t>
      </w:r>
    </w:p>
    <w:p>
      <w:pPr>
        <w:spacing w:after="120"/>
      </w:pPr>
      <w:r>
        <w:rPr>
          <w:rFonts w:ascii="Calibri" w:hAnsi="Calibri"/>
          <w:b/>
          <w:color w:val="6E8450"/>
          <w:sz w:val="18"/>
        </w:rPr>
        <w:t>GROWTH SLEEVE · 2026-04-08 · Inspire: 0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 United States</w:t>
      </w:r>
    </w:p>
    <w:p>
      <w:pPr>
        <w:spacing w:after="80"/>
      </w:pPr>
      <w:r>
        <w:rPr>
          <w:rFonts w:ascii="Calibri" w:hAnsi="Calibri"/>
          <w:b w:val="0"/>
          <w:color w:val="3A4A28"/>
          <w:sz w:val="20"/>
        </w:rPr>
        <w:t>Brookfield Asset Management is a leading global alternative asset manager with over $1 trillion in AUM and $603 billion of fee-bearing capital, specializing in renewable power and transition, infrastructure, real estate, private equity, and credit. Spun off from Brookfield Corporation in December 2022, BAM operates as a pure-play fee-generating business earning base management fees and carried interest across long-dated and perpetual capital strategies in more than 30 countries.</w:t>
      </w:r>
    </w:p>
    <w:p>
      <w:r>
        <w:rPr>
          <w:rFonts w:ascii="Calibri" w:hAnsi="Calibri"/>
          <w:b/>
          <w:color w:val="6E8450"/>
          <w:sz w:val="18"/>
        </w:rPr>
        <w:t>5,800 Employees · https://www.bam.brookfield.com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BAM delivered record 2025 results with fee-related earnings up 22% to $3.0 billion and distributable earnings up 14% to $2.7 billion, while raising $112 billion of capital and crossing $1 trillion in total AUM — each milestone validating a decades-long alternative asset compounding engine [1]. Q4 2025 FRE surged 28% YoY to $867 million with margins expanding to 61%, demonstrating consistent execution at the firm's largest-ever scale [1]. AI Deployment (2/2): BAM launched a major AI infrastructure push, deploying capital at scale into data centers, digital connectivity, and AI-enabling power generation through its infrastructure and real estate platforms, positioning itself as a primary financier of the global AI compute buildout [2]. Market Share (2/2): With $1 trillion+ AUM and $603 billion in fee-bearing capital, BAM ranks among the top five global alternative asset managers, competing directly with Blackstone, KKR, and Apollo while holding dominant positions in infrastructure and renewable energy that peers cannot match [1][2]. Pipeline (2/2): Over $134 billion in uncalled private fund commitments — including $63 billion not yet fee-earning — represents approximately $630 million in embedded incremental annual fee revenue, and 2026 flagship infrastructure and private equity funds are each expected to be the largest vintages ever raised [1]. R&amp;D Intensity (0/1): As a capital-allocating firm, formal R&amp;D is not applicable; Brookfield invests in proprietary deal-origination analytics and market research, but this does not constitute a scoreable R&amp;D program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BAM's mission — to be the partner of choice for institutional investors seeking long-term, inflation-protected returns through real assets — is operationalized through a genuine societal lens: clean energy transition, global infrastructure development, and affordable housing at scale, connecting profit to purpose in a way that resonates beyond pure financial return [2][3]. Community Impact (1/2): Brookfield's portfolio companies collectively employ more than 200,000 workers globally, and its renewable power and infrastructure assets support energy transition across 30+ countries; however, BAM itself employs only 5,800, limiting its direct community footprint relative to the breadth of its investable portfolio [1][2]. Employee Retention (1/2): BAM benefits from Brookfield's reputation as a premier alternative asset management career destination, with senior leadership averaging 15+ years of tenure and a culture of owner-operators who think in decades; junior-level competition for talent with Blackstone and KKR remains intense [2]. Insider Buying (2/2): CEO Connor Teskey and senior partners maintain substantial personal stakes in BAM, Brookfield Corporation controls approximately 75% of shares with full alignment to long-term value creation, and the Board's 15% dividend increase in February 2026 signals management conviction in sustained distributable earnings growth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BAM's financial profile scores at the maximum across every mechanical dimension of the Growth sleeve formula. D/E of 28.5% is extremely conservative for an asset management platform, reflecting zero balance sheet investing risk in the pure-play fee model [3]. ROE of 22.3% exceeds the 15% benchmark by nearly 50%, demonstrating best-in-class capital efficiency on a business requiring minimal tangible equity. Revenue growth of 31.1% YoY, profit margins of 51.6%, and forward P/E of 19.75x all score at ceiling, and liquidity clears the floor comfortably at 3.86M avg daily shares × $43.98 = $169.8M daily traded value [1][3]. The 113.6% GAAP payout ratio is a presentation artifact of alternative asset manager accounting — distributable earnings of $2.7 billion in 2025 comfortably support the dividend, as confirmed by the 15% hike in February 2026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Brookfield Asset Management is among the most authentic Infinite Game practitioners in global finance, built on a 100-year institutional history, perpetual capital structures, multi-decade leadership tenures, and a mission explicitly tied to long-term stewardship of real assets rather than short-cycle return extraction. The 15% dividend increase and record 2025 results, delivered in a volatile macro environment, reflect a leadership team playing for the long arc.</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BAM's just cause — mobilizing institutional capital to own and operate the critical infrastructure, clean energy, and real assets that economies depend on for generations — is one of the most substantive in financial services, connecting profit to the global energy transition and digital infrastructure buildout in a way that is operationalized, not aspirational [2][3]. The 87% long-dated or perpetual capital structure institutionalizes the cause at the business model level, ensuring BAM is structurally oriented toward decades-long stewardship rather than near-term exits [1]. The cause is genuine, mature, and clearly understood by both capital providers and the organizations BAM leads.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Brookfield operates a highly decentralized model empowering dedicated investment teams across renewable power, infrastructure, real estate, private equity, and credit with significant operational autonomy within a shared governance framework — a structure that rewards expertise and accountability over hierarchy [2]. Senior investment professionals average long tenures, and the CEO's own 30+ year Brookfield career exemplifies the promote-from-within culture that sustains institutional trust over time [2]. Some friction exists between the highly autonomous operating subsidiaries and BAM's centralized reporting structure, but the overall trust architecture is strong and improving.</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BAM explicitly competes with and benchmarks against Blackstone, KKR, Apollo, and Carlyle, and has consistently differentiated on operational expertise over financial engineering — a genuine strategic alternative to rivals relying more heavily on leverage, secondaries, or insurance float [1][2]. The firm's decision to pursue AI infrastructure as its largest new investment theme, ahead of most peers, demonstrates competitive intelligence translated into proactive strategy, and the 2026 flagship fund targets being the largest-ever vintages reflect ambition grounded in documented outperformance [1].</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Brookfield has reinvented its capital allocation model multiple times across a century — from Brazilian utilities to North American timberlands to global infrastructure to a pure-play fee business (the 2022 BAM spinoff) — demonstrating exceptional institutional flexibility that has kept the firm at the frontier of each secular capital wave [1][2]. The current pivots into AI infrastructure, credit expansion through Oaktree, and insurance capital via Just Group represent the latest evolution, each expanding the addressable market without abandoning core real-asset competencies [1]. This capacity for strategic reinvention, executed without existential disruption to the culture or capital base, is rare among global financial institutions.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BAM's leadership showed conviction in announcing 2026 flagship fund targets at the largest-ever scale during a period of tariff-driven macro anxiety, and the Board's 15% dividend increase in February 2026 explicitly counters market pessimism with a shareholder-facing signal of earnings confidence [1]. The firm's early and aggressive commitment to AI infrastructure investment, ahead of most alternative asset managers, reflects independent conviction rather than trend-following [2]. However, BAM's communications style tends toward measured institutional messaging rather than contrarian public provocation, reflecting the sovereign wealth fund and pension LP audience it serves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Brookfield Asset Management is a pure-play alternative asset management compounder with exceptional earnings quality: $3.0 billion in fee-related earnings (up 22% in 2025), 61% FRE margins in Q4, $603 billion of fee-bearing capital (87% long-dated or perpetual), and $134 billion in uncalled commitments including $63 billion not yet fee-earning that embeds approximately $630 million of future annual fee revenue [1][2]. The business model is capital-light, highly recurring, and structurally insulated from credit cycles — BAM earns base management fees regardless of market direction and carries no balance sheet risk. The 2026 outlook is compelling: management expects FRE growth to accelerate above the mid-to-high-teens target, driven by two flagship funds (infrastructure and private equity) each targeting the largest vintages ever raised, plus Oaktree expansion and Just Group insurance capital as incremental tailwinds [1]. At 19.75x forward earnings on a 22%+ FRE growth trajectory, BAM offers growth at a reasonable price with a 4.1% dividend yield providing income while the compounding engine works [3].</w:t>
      </w:r>
    </w:p>
    <w:p>
      <w:pPr>
        <w:spacing w:after="120"/>
      </w:pPr>
      <w:r>
        <w:rPr>
          <w:rFonts w:ascii="Calibri" w:hAnsi="Calibri"/>
          <w:b w:val="0"/>
          <w:color w:val="3A4A28"/>
          <w:sz w:val="20"/>
        </w:rPr>
        <w:t>The AI infrastructure theme adds a structural growth dimension beyond fundraising cycles: BAM's infrastructure and real estate platforms are deploying at scale into data centers, power generation, and digital connectivity — directly capturing the trillions in real asset investment the AI buildout requires over the next decade [2]. Key risks center on fundraising cyclicality (LP retrenchment during risk-off markets), governance concentration (Brookfield Corp owns ~75% of shares, limiting minority influence), and GAAP payout ratio optics (113.6%, which screens as unsustainable without reference to distributable earnings) [1][3]. BAM's three-year public track record as a standalone entity means dividend growth history is limited, and execution risk exists on integrating Oaktree and Just Group simultaneously [1][2]. The stock has pulled back from recent highs amid broad market volatility, creating an attractive entry point relative to the business's visible multi-year growth trajectory.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flagship infrastructure and private equity fund closes, each targeting the largest vintage in Brookfield history, expected to drive a step-function increase in fee-bearing capital and distributable FRE [1]</w:t>
      </w:r>
    </w:p>
    <w:p>
      <w:pPr>
        <w:spacing w:before="40" w:after="40"/>
        <w:ind w:left="283"/>
      </w:pPr>
      <w:r>
        <w:rPr>
          <w:rFonts w:ascii="Calibri" w:hAnsi="Calibri"/>
          <w:b/>
          <w:color w:val="4A6B25"/>
          <w:sz w:val="20"/>
        </w:rPr>
        <w:t xml:space="preserve">2. </w:t>
      </w:r>
      <w:r>
        <w:rPr>
          <w:rFonts w:ascii="Calibri" w:hAnsi="Calibri"/>
          <w:b w:val="0"/>
          <w:color w:val="3A4A28"/>
          <w:sz w:val="20"/>
        </w:rPr>
        <w:t>$63 billion of uncalled private fund commitments not yet fee-earning represents approximately $630 million in embedded future annual fee revenue as capital is deployed over 2026-2028 [1][2]</w:t>
      </w:r>
    </w:p>
    <w:p>
      <w:pPr>
        <w:spacing w:before="40" w:after="40"/>
        <w:ind w:left="283"/>
      </w:pPr>
      <w:r>
        <w:rPr>
          <w:rFonts w:ascii="Calibri" w:hAnsi="Calibri"/>
          <w:b/>
          <w:color w:val="4A6B25"/>
          <w:sz w:val="20"/>
        </w:rPr>
        <w:t xml:space="preserve">3. </w:t>
      </w:r>
      <w:r>
        <w:rPr>
          <w:rFonts w:ascii="Calibri" w:hAnsi="Calibri"/>
          <w:b w:val="0"/>
          <w:color w:val="3A4A28"/>
          <w:sz w:val="20"/>
        </w:rPr>
        <w:t>AI infrastructure investment accelerating — BAM's data center and renewable power portfolios are positioned to capture multi-decade secular tailwinds from hyperscaler AI capex projected in the trillions through 2030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Fundraising cyclicality: sustained institutional LP risk-off or a global capital markets freeze could slow fee-bearing capital growth well below mid-teens targets, compressing FRE and pressuring the valuation multiple [1][3]</w:t>
      </w:r>
    </w:p>
    <w:p>
      <w:pPr>
        <w:spacing w:before="40" w:after="40"/>
        <w:ind w:left="283"/>
      </w:pPr>
      <w:r>
        <w:rPr>
          <w:rFonts w:ascii="Calibri" w:hAnsi="Calibri"/>
          <w:b/>
          <w:color w:val="4A6B25"/>
          <w:sz w:val="20"/>
        </w:rPr>
        <w:t xml:space="preserve">2. </w:t>
      </w:r>
      <w:r>
        <w:rPr>
          <w:rFonts w:ascii="Calibri" w:hAnsi="Calibri"/>
          <w:b w:val="0"/>
          <w:color w:val="3A4A28"/>
          <w:sz w:val="20"/>
        </w:rPr>
        <w:t>Governance concentration: Brookfield Corporation controls approximately 75% of BAM shares, limiting minority shareholder influence and creating related-party transaction exposure across the broader Brookfield ecosystem [2]</w:t>
      </w:r>
    </w:p>
    <w:p>
      <w:pPr>
        <w:spacing w:before="40" w:after="40"/>
        <w:ind w:left="283"/>
      </w:pPr>
      <w:r>
        <w:rPr>
          <w:rFonts w:ascii="Calibri" w:hAnsi="Calibri"/>
          <w:b/>
          <w:color w:val="4A6B25"/>
          <w:sz w:val="20"/>
        </w:rPr>
        <w:t xml:space="preserve">3. </w:t>
      </w:r>
      <w:r>
        <w:rPr>
          <w:rFonts w:ascii="Calibri" w:hAnsi="Calibri"/>
          <w:b w:val="0"/>
          <w:color w:val="3A4A28"/>
          <w:sz w:val="20"/>
        </w:rPr>
        <w:t>GAAP payout ratio of 113.6% may trigger income investor concern and misreads of dividend sustainability; any deterioration in distributable earnings from incentive fee timing delays or market dislocations could pressure the dividend growth narrative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BAM's fee-collecting model is structurally insulated from AI disruption — its core value lies in relationship capital, regulatory expertise, cross-border operating knowledge, and access to large-scale illiquid deal flow that AI cannot replicate; the firm's $603 billion of 87% long-dated or perpetual fee-bearing capital faces negligible redemption pressure from algorithmic or robo-advisory alternatives [1][2]. The human judgment embedded in underwriting $1 billion-plus infrastructure and real estate transactions — navigating sovereign counterparties, regulatory regimes, and complex construction cycles — creates a durable moat against automation at the investment decision layer [2]. AI Opportunity (1/1): BAM has proactively repositioned as a primary owner and financier of AI infrastructure, with its infrastructure and real estate platforms actively deploying capital into data centers, power generation, and digital connectivity — making it a direct beneficiary of the trillions in real asset investment the AI economy is projected to require through 2030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Brookfield Asset Management Press Release — Record 2025 Results and 15% Dividend Increase, February 2026. https://bam.brookfield.com/press-releases/brookfield-asset-management-announces-record-2025-results-and-15-dividend-increase</w:t>
      </w:r>
    </w:p>
    <w:p>
      <w:pPr>
        <w:spacing w:before="20" w:after="20"/>
        <w:ind w:left="170"/>
      </w:pPr>
      <w:r>
        <w:rPr>
          <w:rFonts w:ascii="Calibri" w:hAnsi="Calibri"/>
          <w:b/>
          <w:color w:val="4A6B25"/>
          <w:sz w:val="15"/>
        </w:rPr>
        <w:t xml:space="preserve">2. </w:t>
      </w:r>
      <w:r>
        <w:rPr>
          <w:rFonts w:ascii="Calibri" w:hAnsi="Calibri"/>
          <w:b w:val="0"/>
          <w:color w:val="3A4A28"/>
          <w:sz w:val="17"/>
        </w:rPr>
        <w:t>Brookfield Asset Management 10-K Annual Report — AUM, fee-bearing capital, AI infrastructure strategy, Oaktree, business overview, filed 2026. https://www.stocktitan.net/sec-filings/BAM/10-k-brookfield-asset-management-ltd-files-annual-report-ac05e9335427.html</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 BAM key statistics (price $43.98, P/E 28.56, forward P/E 19.75, D/E 28.5%, ROE 22.3%, profit margin 51.6%, avg volume 3.86M, dividend yield 4.1%, payout 113.6%),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