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BANC</w:t>
      </w:r>
      <w:r>
        <w:rPr>
          <w:rFonts w:ascii="Calibri" w:hAnsi="Calibri"/>
          <w:b/>
          <w:color w:val="1A2010"/>
          <w:sz w:val="40"/>
        </w:rPr>
        <w:t xml:space="preserve">  Banc of California, Inc.</w:t>
      </w:r>
    </w:p>
    <w:p>
      <w:pPr>
        <w:spacing w:after="120"/>
      </w:pPr>
      <w:r>
        <w:rPr>
          <w:rFonts w:ascii="Calibri" w:hAnsi="Calibri"/>
          <w:b/>
          <w:color w:val="6E8450"/>
          <w:sz w:val="18"/>
        </w:rPr>
        <w:t>DIVIDEND SLEEVE · 2026-04-11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United States</w:t>
      </w:r>
    </w:p>
    <w:p>
      <w:pPr>
        <w:spacing w:after="80"/>
      </w:pPr>
      <w:r>
        <w:rPr>
          <w:rFonts w:ascii="Calibri" w:hAnsi="Calibri"/>
          <w:b w:val="0"/>
          <w:color w:val="3A4A28"/>
          <w:sz w:val="20"/>
        </w:rPr>
        <w:t>Banc of California, Inc. operates as the bank holding company for Banc of California that provides banking and treasury management services in the United States. The company offers deposit products, commercial real estate loans, commercial loans and leases, consumer loans, electronic payment services, and investment management services. Founded in 1941 and headquartered in Los Angeles, California, it serves small and middle-market businesses, venture capital firms, and high-net-worth individuals through branches in California, Colorado, and North Carolina.</w:t>
      </w:r>
    </w:p>
    <w:p>
      <w:r>
        <w:rPr>
          <w:rFonts w:ascii="Calibri" w:hAnsi="Calibri"/>
          <w:b/>
          <w:color w:val="6E8450"/>
          <w:sz w:val="18"/>
        </w:rPr>
        <w:t>1,904 Employees · https://bancofcal.com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The 2023 PacWest Bancorp merger was a transformative pivot that doubled the bank's asset base to ~$35B and diversified the deposit franchise, qualifying as a significant business model transformation [1]. AI Deployment (0/2): No evidence of AI-powered products shipping to customers or quantified AI-driven cost savings; the bank has not disclosed any AI initiatives beyond standard digital banking upgrades. Market Share (1/2): BANC is a meaningful regional player in Southern California with $34.8B in assets, but it does not lead or define the category [1]. Product Pipeline (1/2): Management has guided for mid-single-digit loan growth and double-digit NII growth in 2026, with a $2.7B Q4 loan production pipeline providing near-term visibility, though no transformative new product lines have been announced [1]. R&amp;D Intensity (1/1): As a bank, BANC invests in technology through its digital platform and electronic payment services at rates consistent with regional banking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Banc of California articulates a clear purpose — 'California's bank, helping to build the California dream' — connecting its work to the communities it serves, though the mission is not deeply distinctive or validated through decades of transformative decisions [3]. Community Impact (2/2): The bank's 2024 Impact Report highlights community investments, responsible lending programs, and philanthropic giving; as a Community Reinvestment Act-compliant institution, BANC actively supports local economic development in underserved California communities [3]. Employee Retention (0/2): No specific retention or tenure data available; Glassdoor reviews show a mixed picture with 4.0/5.0 for culture and values but an 'F' executive team rating on Comparably [2]. Insider Buying (1/2): Officer Hamid Hussain purchased $295,680 in shares at $21.12 in February 2026, though this was partially offset by earlier selling; Warburg Pincus sold $256M in shares during early 2026 as part of a post-merger stake reduction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available financial metrics. Strong forward P/E of 8.9x reflects significant earnings upside at just 0.94x book value [1]. Profit margin of 21.8% is solid for a regional bank. Revenue grew 11.5% YoY driven by NIM expansion to 3.20% and a 6% increase in loans [1]. ROE of 6.5% remains below the 15% target as the bank continues integrating PacWest assets, though Q4 ROTCE improved to 10.75% [1]. Dividend payout ratio of 34.2% is conservative, and the bank has paid dividends continuously since 2003 (23 consecutive years), with a 5yr dividend growth CAGR of ~10.8% following the recent increase to $0.12/quarter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Banc of California demonstrates a mixed infinite/finite orientation. The PacWest merger showed existential flexibility and willingness to take a transformative risk, but the bank's language remains focused on near-term financial metrics — EPS growth, efficiency ratios, and PPOP targets — rather than a long-term cause. CEO Jared Wolff has provided stable leadership since 2019, successfully navigating the 2023 regional banking crisis, though the organization's culture post-merger is still consolidating.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BANC's stated purpose of building 'California's bank' is clear and geographically specific but lacks the depth of a true Just Cause — it describes a market position rather than a vision of a future state worth sacrificing for. The bank's community reinvestment commitment adds substance, but strategic decisions appear driven primarily by financial optimization rather than purpose (1 point)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Post-merger integration is inherently trust-challenging, and BANC's Glassdoor reviews show mixed sentiment with an 'F' executive team rating on Comparably alongside 4.0/5.0 scores for culture and work-life balance [2]. The merger retained talent from both institutions and management describes a 'unified' culture, but 1,904 employees following a merger that combined two ~$35B-asset banks suggests significant workforce reduction. Adequate trust without standout evidence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Management's competitive language focuses on differentiating BANC's relationship-banking model and building market position rather than destroying competitors. The PacWest acquisition itself acknowledged a rival's strengths (deposit franchise, venture banking relationships) and sought to absorb them rather than compete against them, suggesting an infinite competitive orientation (1 point)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2023 PacWest Bancorp merger during the regional banking crisis was a significant strategic pivot — BANC doubled its asset base by acquiring a distressed competitor, fundamentally transforming from a ~$10B community bank to a ~$35B regional franchise [1]. This showed willingness to evolve, though the move was partly opportunistic rather than driven by a Just Cause. The pivot was incremental in nature — still banking, just bigger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Jared Wolff demonstrated courage by pursuing the PacWest merger during the 2023 regional banking crisis when most banks were retrenching. The decision to absorb a distressed competitor carried significant integration and credit risk, and management invested in building out the platform rather than cutting to maximize near-term earnings [1]. However, the recent Warburg Pincus stake sale and heavy focus on quarterly efficiency metrics suggest some finite tendencies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Banc of California is a compelling regional bank turnaround story trading at just 0.94x tangible book value with a forward P/E of 8.9x, offering significant upside as the PacWest integration matures. Full-year 2025 EPS of $1.17 represented a 125% increase over 2024, NIM expanded 30bps to 3.15%, and Q4 annualized loan growth hit 15% with $2.7B in new production [1]. Management guides for mid-single-digit loan growth, double-digit NII growth, and 20-25% PPOP growth in 2026, with consensus EPS estimates of $1.75 representing 50% growth [1]. The 2.6% dividend yield with a conservative 34% payout ratio provides income while the growth story plays out.</w:t>
      </w:r>
    </w:p>
    <w:p>
      <w:pPr>
        <w:spacing w:after="120"/>
      </w:pPr>
      <w:r>
        <w:rPr>
          <w:rFonts w:ascii="Calibri" w:hAnsi="Calibri"/>
          <w:b w:val="0"/>
          <w:color w:val="3A4A28"/>
          <w:sz w:val="20"/>
        </w:rPr>
        <w:t>The bear case centers on integration execution risk and credit quality. Nonperforming loans of $159.2M (0.64% of loans) bear watching as the CRE portfolio seasons in a higher-rate environment [1]. ROE remains weak at 6.5% — well below the 15% target for a bank of this size — and true profitability normalization depends on extracting remaining merger synergies. Warburg Pincus's $256M stake reduction in early 2026 removes a technical overhang but also signals that the largest institutional holder sees limited near-term upside at current levels. If CRE credit deteriorates or NIM compresses faster than loans grow, the earnings trajectory could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NIM expansion and double-digit NII growth in 2026 as Q4 2025 loan production ($2.7B at 6.83% weighted avg rate) fully contributes to interest income</w:t>
      </w:r>
    </w:p>
    <w:p>
      <w:pPr>
        <w:spacing w:before="40" w:after="40"/>
        <w:ind w:left="283"/>
      </w:pPr>
      <w:r>
        <w:rPr>
          <w:rFonts w:ascii="Calibri" w:hAnsi="Calibri"/>
          <w:b/>
          <w:color w:val="4A6B25"/>
          <w:sz w:val="20"/>
        </w:rPr>
        <w:t xml:space="preserve">2. </w:t>
      </w:r>
      <w:r>
        <w:rPr>
          <w:rFonts w:ascii="Calibri" w:hAnsi="Calibri"/>
          <w:b w:val="0"/>
          <w:color w:val="3A4A28"/>
          <w:sz w:val="20"/>
        </w:rPr>
        <w:t>Efficiency ratio improvement from 59.4% toward the mid-50s% range as remaining PacWest integration synergies are realized</w:t>
      </w:r>
    </w:p>
    <w:p>
      <w:pPr>
        <w:spacing w:before="40" w:after="40"/>
        <w:ind w:left="283"/>
      </w:pPr>
      <w:r>
        <w:rPr>
          <w:rFonts w:ascii="Calibri" w:hAnsi="Calibri"/>
          <w:b/>
          <w:color w:val="4A6B25"/>
          <w:sz w:val="20"/>
        </w:rPr>
        <w:t xml:space="preserve">3. </w:t>
      </w:r>
      <w:r>
        <w:rPr>
          <w:rFonts w:ascii="Calibri" w:hAnsi="Calibri"/>
          <w:b w:val="0"/>
          <w:color w:val="3A4A28"/>
          <w:sz w:val="20"/>
        </w:rPr>
        <w:t>Potential re-rating from 0.94x to 1.2x+ tangible book value as ROE normalizes toward 10-12%, implying 25-30% upside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Commercial real estate credit deterioration in Southern California, where BANC has concentrated exposure, particularly in office and multifamily segments</w:t>
      </w:r>
    </w:p>
    <w:p>
      <w:pPr>
        <w:spacing w:before="40" w:after="40"/>
        <w:ind w:left="283"/>
      </w:pPr>
      <w:r>
        <w:rPr>
          <w:rFonts w:ascii="Calibri" w:hAnsi="Calibri"/>
          <w:b/>
          <w:color w:val="4A6B25"/>
          <w:sz w:val="20"/>
        </w:rPr>
        <w:t xml:space="preserve">2. </w:t>
      </w:r>
      <w:r>
        <w:rPr>
          <w:rFonts w:ascii="Calibri" w:hAnsi="Calibri"/>
          <w:b w:val="0"/>
          <w:color w:val="3A4A28"/>
          <w:sz w:val="20"/>
        </w:rPr>
        <w:t>Warburg Pincus still holds a significant stake post-sale and further liquidation could pressure the share price and signal waning institutional confidence</w:t>
      </w:r>
    </w:p>
    <w:p>
      <w:pPr>
        <w:spacing w:before="40" w:after="40"/>
        <w:ind w:left="283"/>
      </w:pPr>
      <w:r>
        <w:rPr>
          <w:rFonts w:ascii="Calibri" w:hAnsi="Calibri"/>
          <w:b/>
          <w:color w:val="4A6B25"/>
          <w:sz w:val="20"/>
        </w:rPr>
        <w:t xml:space="preserve">3. </w:t>
      </w:r>
      <w:r>
        <w:rPr>
          <w:rFonts w:ascii="Calibri" w:hAnsi="Calibri"/>
          <w:b w:val="0"/>
          <w:color w:val="3A4A28"/>
          <w:sz w:val="20"/>
        </w:rPr>
        <w:t>Deposit competition from fintech and larger banks could compress NIM and increase funding costs, limiting the earnings growth trajectory management has guided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Regional banking is fundamentally a relationship-driven, physically-anchored, and heavily-regulated business. BANC's core revenue — commercial real estate lending, middle-market business banking, and treasury management — depends on local market knowledge, borrower relationships, and regulatory compliance that AI cannot easily replicate [2]. However, AI-powered fintech competitors could pressure commoditized services like deposit gathering and consumer lending at the margins, and AI tools may reduce the labor cost advantages that smaller banks historically held in underwriting. Analysts have not flagged AI as a material disruption risk for BANC specifically [2]. AI Opportunity (0/1): No evidence of AI-generated revenue; BANC has not disclosed any AI products or quantified AI-driven efficiency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Banc of California Q4 2025 Earnings Release, January 21, 2026</w:t>
      </w:r>
    </w:p>
    <w:p>
      <w:pPr>
        <w:spacing w:before="20" w:after="20"/>
        <w:ind w:left="170"/>
      </w:pPr>
      <w:r>
        <w:rPr>
          <w:rFonts w:ascii="Calibri" w:hAnsi="Calibri"/>
          <w:b/>
          <w:color w:val="4A6B25"/>
          <w:sz w:val="15"/>
        </w:rPr>
        <w:t xml:space="preserve">2. </w:t>
      </w:r>
      <w:r>
        <w:rPr>
          <w:rFonts w:ascii="Calibri" w:hAnsi="Calibri"/>
          <w:b w:val="0"/>
          <w:color w:val="3A4A28"/>
          <w:sz w:val="17"/>
        </w:rPr>
        <w:t>Glassdoor and Comparably — Banc of California employee reviews and executive ratings,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Banc of California Corporate Sustainability page — bancofcal.com,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BANC key statistics and financial data,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 'Banc of California Standing Out More As A Differentiated Growth Story',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