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BANL</w:t>
      </w:r>
      <w:r>
        <w:rPr>
          <w:rFonts w:ascii="Calibri" w:hAnsi="Calibri"/>
          <w:b/>
          <w:color w:val="1A2010"/>
          <w:sz w:val="40"/>
        </w:rPr>
        <w:t xml:space="preserve">  CBL International Limited</w:t>
      </w:r>
    </w:p>
    <w:p>
      <w:pPr>
        <w:spacing w:after="120"/>
      </w:pPr>
      <w:r>
        <w:rPr>
          <w:rFonts w:ascii="Calibri" w:hAnsi="Calibri"/>
          <w:b/>
          <w:color w:val="6E8450"/>
          <w:sz w:val="18"/>
        </w:rPr>
        <w:t>GROWTH SLEEVE · 2026-05-04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NASDAQ · Malaysia</w:t>
      </w:r>
    </w:p>
    <w:p>
      <w:pPr>
        <w:spacing w:after="80"/>
      </w:pPr>
      <w:r>
        <w:rPr>
          <w:rFonts w:ascii="Calibri" w:hAnsi="Calibri"/>
          <w:b w:val="0"/>
          <w:color w:val="3A4A28"/>
          <w:sz w:val="20"/>
        </w:rPr>
        <w:t>CBL International Limited is the listing vehicle of the Banle Group, an established marine fuel logistics company in Asia Pacific providing one-stop vessel refueling solutions. The company facilitates bunkering between ship operators and local physical distributors/traders, purchasing and coordinating marine fuel delivery across Malaysia, Hong Kong, China, South Korea, Singapore, and internationally. Founded in 2015 and headquartered in Kuala Lumpur, it operates as a subsidiary of CBL (Asia) Limited.</w:t>
      </w:r>
    </w:p>
    <w:p>
      <w:r>
        <w:rPr>
          <w:rFonts w:ascii="Calibri" w:hAnsi="Calibri"/>
          <w:b/>
          <w:color w:val="6E8450"/>
          <w:sz w:val="18"/>
        </w:rPr>
        <w:t>37 Employees · https://www.banle-intl.com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CBL expanded revenue 35.9% to $592.5M in FY2024 through geographic expansion across Asia-Pacific ports, but the core business model of bunkering facilitation has not fundamentally changed since founding in 2015 [1]. The April 2026 acquisition of a 50.5% stake in Green Marine Energy Holdings broadens into biofuels and sustainable marine fuels, representing an incremental market adjacency [3]. AI Deployment (0/2): No evidence of AI-powered products or measurable AI-driven efficiency gains in bunkering operations. Market Share (1/2): CBL is a meaningful player in Asia-Pacific marine fuel logistics but is not a category leader; the bunkering market is fragmented with large incumbents like World Fuel Services and Bunker Holding dominating globally [1]. Pipeline (1/2): The Green Marine acquisition and ISCC EU/Plus certifications position CBL for the IMO 2030 decarbonization mandates, creating a visible pipeline in sustainable marine fuels, though revenue impact is uncertain [3]. R&amp;D Intensity (1/1): Investment in sustainable fuel certifications and LNG bunkering capability (completed Xiaomo Port's first LNG bunkering for BYD) exceeds typical midstream logistics peers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CBL's website articulates a purpose of providing reliable, sustainable marine fuel solutions, identifying the company's role in enabling global trade — clear but not distinctive among energy logistics peers [2]. Community Impact (1/2): CBL won the CGMA Excellent Sustainability Award 2025 and received an EcoVadis Silver Medal (top 15% globally), with measurable carbon reduction targets and community development investments, though specific dollar amounts are not disclosed [3]. Employee Retention (0/2): With only 37 full-time employees, retention data is not publicly available. Insider Buying (1/2): Dr. Teck Lim Chia, Chairman and CEO, has maintained significant equity ownership as founder, and no major insider selling has been reported, though specific recent purchase data is limited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1,709,068 shares × $0.50 stock price = $854,534 daily liquidity, below the $1,000,000 minimum threshold [4]. Infrastructure score is automatically 0 regardless of underlying metrics. For reference, underlying financials show a micro-cap ($13.7M market cap) company with negative ROE (-14.0%), negative profit margin (-0.6%), D/E of 10.5%, and no forward P/E available [4]. Revenue of $538.5M TTM relative to the tiny market cap reflects razor-thin margins typical of fuel logistics intermediaries.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CBL International shows signs of infinite game thinking through its sustainability pivot and long-term positioning for IMO 2030 decarbonization mandates, but the company is too young (founded 2015) and too small (37 employees) to have been tested through multiple market cycles. Dr. Chia's governance awards and ESG commitment suggest genuine purpose, but the finite pressures of a micro-cap company fighting for profitability create tension with long-term vision.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CBL articulates a purpose around enabling sustainable global trade through reliable marine fuel logistics, and the Green Marine acquisition and ISCC certifications show genuine commitment to this direction [2][3]. However, the cause has not been tested through crisis or multi-decade consistency — the company is only 11 years old and has yet to prove the purpose drives strategic decisions beyond opportunistic growth.</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only 37 employees, the organization is small enough that interpersonal trust can exist organically. Dr. Chia's Directors of the Year Award and governance recognition suggest leadership values are positive [2]. However, no public data on turnover, employee satisfaction, or organizational culture exists for a company this small.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in public communications of CBL acknowledging competitors' strengths or using competitive pressure for self-improvement. Management communications focus on CBL's own expansion and awards rather than learning from larger rivals like World Fuel Services or Bunker Holding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into sustainable marine fuels through the Green Marine acquisition and LNG bunkering (Xiaomo Port's first LNG delivery for BYD) demonstrates willingness to evolve the business model in response to industry shifts [3]. This is incremental rather than transformative, but for a company this size, it shows strategic awareness.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Investing in sustainability certifications (ISCC EU, ISCC Plus) and acquiring Green Marine while still operating at a net loss shows willingness to prioritize long-term positioning over short-term profitability [3]. Dr. Chia's governance-forward approach and ESG commitments carry real cost for a micro-cap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CBL International operates a capital-light marine fuel logistics model that generated $592.5M revenue in FY2024 (up 35.9% YoY), demonstrating the scalability of its bunkering facilitation platform across Asia-Pacific [1]. The strategic pivot into sustainable marine fuels — via the Green Marine acquisition, ISCC certifications, and LNG bunkering capabilities — positions CBL ahead of IMO 2030 decarbonization mandates that will reshape the $200B+ global bunkering market [3]. Dr. Chia's governance recognition (Directors of the Year Award) and EcoVadis Silver Medal suggest a management team building credibility in ESG-driven maritime logistics.</w:t>
      </w:r>
    </w:p>
    <w:p>
      <w:pPr>
        <w:spacing w:after="120"/>
      </w:pPr>
      <w:r>
        <w:rPr>
          <w:rFonts w:ascii="Calibri" w:hAnsi="Calibri"/>
          <w:b w:val="0"/>
          <w:color w:val="3A4A28"/>
          <w:sz w:val="20"/>
        </w:rPr>
        <w:t>The bear case is severe: CBL is a $13.7M market cap company generating negative net income (-$3.0M TTM) on $538.5M revenue, implying razor-thin negative margins that leave no room for error [4]. Daily liquidity of only $854K makes the stock essentially untradeable for institutional investors and creates extreme price volatility risk. The company has only 37 employees managing half-a-billion in revenue, raising operational risk concentration concerns. Revenue declined 13.3% YoY in recent quarters after the FY2024 surge, suggesting the growth trajectory may be volatile rather than sustainable. As a Malaysian-based sub-$1 micro-cap with no analyst coverage, BANL carries significant information asymmetry and governance risk despite Dr. Chia's awards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IMO 2030 decarbonization mandates requiring cleaner marine fuels could accelerate demand for CBL's sustainable fuel capabilities through Green Marine and ISCC certifications [3]</w:t>
      </w:r>
    </w:p>
    <w:p>
      <w:pPr>
        <w:spacing w:before="40" w:after="40"/>
        <w:ind w:left="283"/>
      </w:pPr>
      <w:r>
        <w:rPr>
          <w:rFonts w:ascii="Calibri" w:hAnsi="Calibri"/>
          <w:b/>
          <w:color w:val="4A6B25"/>
          <w:sz w:val="20"/>
        </w:rPr>
        <w:t xml:space="preserve">2. </w:t>
      </w:r>
      <w:r>
        <w:rPr>
          <w:rFonts w:ascii="Calibri" w:hAnsi="Calibri"/>
          <w:b w:val="0"/>
          <w:color w:val="3A4A28"/>
          <w:sz w:val="20"/>
        </w:rPr>
        <w:t>Geographic expansion into new Asian ports (Xiaomo Port LNG bunkering for BYD completed) broadens revenue base and demonstrates platform scalability [3]</w:t>
      </w:r>
    </w:p>
    <w:p>
      <w:pPr>
        <w:spacing w:before="40" w:after="40"/>
        <w:ind w:left="283"/>
      </w:pPr>
      <w:r>
        <w:rPr>
          <w:rFonts w:ascii="Calibri" w:hAnsi="Calibri"/>
          <w:b/>
          <w:color w:val="4A6B25"/>
          <w:sz w:val="20"/>
        </w:rPr>
        <w:t xml:space="preserve">3. </w:t>
      </w:r>
      <w:r>
        <w:rPr>
          <w:rFonts w:ascii="Calibri" w:hAnsi="Calibri"/>
          <w:b w:val="0"/>
          <w:color w:val="3A4A28"/>
          <w:sz w:val="20"/>
        </w:rPr>
        <w:t>Potential margin improvement if the biofuels business (via Green Marine acquisition) delivers higher-margin revenue than traditional bunkering facilitation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Micro-cap illiquidity — $854K daily trading volume makes positions nearly impossible to exit without significant price impact, triggering the IOWN liquidity floor [4]</w:t>
      </w:r>
    </w:p>
    <w:p>
      <w:pPr>
        <w:spacing w:before="40" w:after="40"/>
        <w:ind w:left="283"/>
      </w:pPr>
      <w:r>
        <w:rPr>
          <w:rFonts w:ascii="Calibri" w:hAnsi="Calibri"/>
          <w:b/>
          <w:color w:val="4A6B25"/>
          <w:sz w:val="20"/>
        </w:rPr>
        <w:t xml:space="preserve">2. </w:t>
      </w:r>
      <w:r>
        <w:rPr>
          <w:rFonts w:ascii="Calibri" w:hAnsi="Calibri"/>
          <w:b w:val="0"/>
          <w:color w:val="3A4A28"/>
          <w:sz w:val="20"/>
        </w:rPr>
        <w:t>Negative profitability with -0.6% net margin on $538.5M revenue; any margin compression or working capital strain could threaten solvency for a company with only $12.5M cash [4]</w:t>
      </w:r>
    </w:p>
    <w:p>
      <w:pPr>
        <w:spacing w:before="40" w:after="40"/>
        <w:ind w:left="283"/>
      </w:pPr>
      <w:r>
        <w:rPr>
          <w:rFonts w:ascii="Calibri" w:hAnsi="Calibri"/>
          <w:b/>
          <w:color w:val="4A6B25"/>
          <w:sz w:val="20"/>
        </w:rPr>
        <w:t xml:space="preserve">3. </w:t>
      </w:r>
      <w:r>
        <w:rPr>
          <w:rFonts w:ascii="Calibri" w:hAnsi="Calibri"/>
          <w:b w:val="0"/>
          <w:color w:val="3A4A28"/>
          <w:sz w:val="20"/>
        </w:rPr>
        <w:t>Key-person risk — 37-employee company led by founder-CEO Dr. Chia with no evidence of management depth or succession planning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Marine fuel bunkering is a physical-world logistics operation involving port coordination, fuel delivery, quality verification, and trade credit — activities that AI cannot structurally displace [1]. The business requires physical presence at ports, relationships with local distributors, and real-time coordination of vessel schedules. IMO regulatory compliance and fuel quality testing add further barriers to AI substitution. The marine fuel supply chain's complexity and physical infrastructure requirements make this business essentially immune to AI disruption. AI Opportunity (0/1): No evidence of AI-generated revenue. CBL does not offer AI-powered products or services; the business is purely physical logistics facilitation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CBL International FY2024 Annual Results — $592.5M revenue (35.9% growth), company filings, 2025</w:t>
      </w:r>
    </w:p>
    <w:p>
      <w:pPr>
        <w:spacing w:before="20" w:after="20"/>
        <w:ind w:left="170"/>
      </w:pPr>
      <w:r>
        <w:rPr>
          <w:rFonts w:ascii="Calibri" w:hAnsi="Calibri"/>
          <w:b/>
          <w:color w:val="4A6B25"/>
          <w:sz w:val="15"/>
        </w:rPr>
        <w:t xml:space="preserve">2. </w:t>
      </w:r>
      <w:r>
        <w:rPr>
          <w:rFonts w:ascii="Calibri" w:hAnsi="Calibri"/>
          <w:b w:val="0"/>
          <w:color w:val="3A4A28"/>
          <w:sz w:val="17"/>
        </w:rPr>
        <w:t>GlobeNewsWire — Dr. Teck Lim Chia Directors of the Year Award, CBL governance and ESG recognition, December 2025</w:t>
      </w:r>
    </w:p>
    <w:p>
      <w:pPr>
        <w:spacing w:before="20" w:after="20"/>
        <w:ind w:left="170"/>
      </w:pPr>
      <w:r>
        <w:rPr>
          <w:rFonts w:ascii="Calibri" w:hAnsi="Calibri"/>
          <w:b/>
          <w:color w:val="4A6B25"/>
          <w:sz w:val="15"/>
        </w:rPr>
        <w:t xml:space="preserve">3. </w:t>
      </w:r>
      <w:r>
        <w:rPr>
          <w:rFonts w:ascii="Calibri" w:hAnsi="Calibri"/>
          <w:b w:val="0"/>
          <w:color w:val="3A4A28"/>
          <w:sz w:val="17"/>
        </w:rPr>
        <w:t>CBL International press releases — Green Marine acquisition, Xiaomo Port LNG bunkering, ISCC certifications,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BANL key statistics, market data,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