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BAX</w:t>
      </w:r>
      <w:r>
        <w:rPr>
          <w:rFonts w:ascii="Calibri" w:hAnsi="Calibri"/>
          <w:b/>
          <w:color w:val="1A2010"/>
          <w:sz w:val="40"/>
        </w:rPr>
        <w:t xml:space="preserve">  Baxter International Inc.</w:t>
      </w:r>
    </w:p>
    <w:p>
      <w:pPr>
        <w:spacing w:after="120"/>
      </w:pPr>
      <w:r>
        <w:rPr>
          <w:rFonts w:ascii="Calibri" w:hAnsi="Calibri"/>
          <w:b/>
          <w:color w:val="6E8450"/>
          <w:sz w:val="18"/>
        </w:rPr>
        <w:t>DIVIDEND SLEEVE · 2026-03-27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NYSE · United States</w:t>
      </w:r>
    </w:p>
    <w:p>
      <w:pPr>
        <w:spacing w:after="80"/>
      </w:pPr>
      <w:r>
        <w:rPr>
          <w:rFonts w:ascii="Calibri" w:hAnsi="Calibri"/>
          <w:b w:val="0"/>
          <w:color w:val="3A4A28"/>
          <w:sz w:val="20"/>
        </w:rPr>
        <w:t>Baxter International is a global medtech company providing products and therapies across Medical Products &amp; Therapies, Healthcare Systems &amp; Technologies, and Pharmaceuticals segments. The company divested its Kidney Care business (Vantive) to Carlyle Group in January 2025 for $3.3B net proceeds.</w:t>
      </w:r>
    </w:p>
    <w:p>
      <w:r>
        <w:rPr>
          <w:rFonts w:ascii="Calibri" w:hAnsi="Calibri"/>
          <w:b/>
          <w:color w:val="6E8450"/>
          <w:sz w:val="18"/>
        </w:rPr>
        <w:t>37,500 Employees · https://www.baxter.com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Baxter maintains a portfolio of established medical products across IV solutions, infusion systems, surgical care, and pharmaceuticals with incremental innovation in connected devices and smart infusion pumps [1]. The divestiture of Kidney Care to Carlyle simplifies the portfolio but removes a significant R&amp;D pipeline. The company's operating model restructuring — eliminating segment management layers — signals operational efficiency focus over breakthrough innovation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Baxter's mission to 'save and sustain lives' through essential healthcare products provides genuine purpose, with 37,500 employees serving hospitals globally [1]. However, the company has undergone significant organizational disruption — CEO transitions, the Kidney Care divestiture, and a major restructuring eliminating segment management layers create employee uncertainty [1]. The stock's 52% decline from 52-week highs undermines confidence in leadership execution.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Baxter's financials are severely strained with D/E of 160.3%, negative ROE of -13.7%, negative profit margin of -8.5%, and GAAP EPS of -$1.75 [1]. Adjusted EPS of $2.27 shows underlying profitability, but 2026 guidance of flat organic sales and adjusted EPS of $1.85-$2.05 represents a decline [2]. The $9.8B debt load on an $8.6B market cap creates high leverage risk, and dividend yield of 2.16% with a payout ratio of 307.7% (on GAAP earnings) is unsustainable.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Baxter demonstrates mixed infinite game characteristics — the century-old company has endured through multiple strategic transformations (Baxter-Abbott split, Baxalta spinoff, Kidney Care divestiture), showing institutional resilience. However, the current financial distress, leadership instability, and purely operational turnaround focus reflect finite-game survival priorities over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Baxter's mission to save and sustain lives through essential hospital products is enduring and meaningful, underpinning over 90 years of healthcare service [1]. However, the serial divestitures and financial restructuring suggest the mission is increasingly constrained by balance sheet realities.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elimination of segment management layers and ongoing restructuring create organizational uncertainty for 37,500 employees [1]. Multiple leadership transitions and the Kidney Care divestiture displaced significant workforce, though Baxter's long healthcare heritage provides some cultural continuity.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Baxter competes with Becton Dickinson, Fresenius, and ICU Medical across its product lines, using competition to drive efficiency improvements [1]. However, the company's weakened financial position limits its ability to invest aggressively in competitive differentiation.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Kidney Care divestiture for $3.3B demonstrates willingness to transform the portfolio for financial health, and the operating model restructuring shows adaptability [1]. However, these moves are driven by necessity rather than proactive strategic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Management's guidance of flat-to-declining adjusted EPS in 2026 reflects honest communication, but the stock's 52% decline suggests investors view leadership as reactive rather than visionary [2]. The $0.36 annual dividend appears at risk given the payout ratio exceeds 300% on GAAP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Baxter trades at just 8.1x forward earnings on adjusted EPS of $2.05, offering deep value exposure to a turnaround in the essential medical products space [1]. The Kidney Care divestiture simplifies the portfolio, the $3.3B in net proceeds enables debt reduction, and free cash flow improvement is expected in 2026 from structural cost actions [2]. The company's essential hospital products — IV solutions, infusion systems, surgical care — provide recession-resistant revenue, and operating model restructuring could unlock margin expansion as complexity is reduced.</w:t>
      </w:r>
    </w:p>
    <w:p>
      <w:pPr>
        <w:spacing w:after="120"/>
      </w:pPr>
      <w:r>
        <w:rPr>
          <w:rFonts w:ascii="Calibri" w:hAnsi="Calibri"/>
          <w:b w:val="0"/>
          <w:color w:val="3A4A28"/>
          <w:sz w:val="20"/>
        </w:rPr>
        <w:t>The bear case is formidable — D/E of 160.3%, negative GAAP profitability, a dividend payout ratio over 300%, and 2026 guidance of flat-to-declining EPS create a fundamentally challenged investment profile [1]. The $9.8B debt load on an $8.6B market cap means the equity is deeply leveraged to operating performance, and a 900bp gross margin decline in Q4 2025 raises concerns about structural pricing pressure [2]. Tariff impacts, product mix headwinds, and the TSA costs associated with the Kidney Care divestiture create near-term earnings drags. The stock has fallen 52% from its 52-week high, and recovery depends on successful execution of a turnaround that management has yet to demonstrate.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Debt reduction using Kidney Care divestiture proceeds, targeting $2-3B in paydowns that could reduce interest expense by $100-150M annually and improve credit ratings [1]</w:t>
      </w:r>
    </w:p>
    <w:p>
      <w:pPr>
        <w:spacing w:before="40" w:after="40"/>
        <w:ind w:left="283"/>
      </w:pPr>
      <w:r>
        <w:rPr>
          <w:rFonts w:ascii="Calibri" w:hAnsi="Calibri"/>
          <w:b/>
          <w:color w:val="4A6B25"/>
          <w:sz w:val="20"/>
        </w:rPr>
        <w:t xml:space="preserve">2. </w:t>
      </w:r>
      <w:r>
        <w:rPr>
          <w:rFonts w:ascii="Calibri" w:hAnsi="Calibri"/>
          <w:b w:val="0"/>
          <w:color w:val="3A4A28"/>
          <w:sz w:val="20"/>
        </w:rPr>
        <w:t>Operating model restructuring eliminating segment management layers, potentially saving $200-400M annually as redundancies are removed and decision-making is streamlined [1]</w:t>
      </w:r>
    </w:p>
    <w:p>
      <w:pPr>
        <w:spacing w:before="40" w:after="40"/>
        <w:ind w:left="283"/>
      </w:pPr>
      <w:r>
        <w:rPr>
          <w:rFonts w:ascii="Calibri" w:hAnsi="Calibri"/>
          <w:b/>
          <w:color w:val="4A6B25"/>
          <w:sz w:val="20"/>
        </w:rPr>
        <w:t xml:space="preserve">3. </w:t>
      </w:r>
      <w:r>
        <w:rPr>
          <w:rFonts w:ascii="Calibri" w:hAnsi="Calibri"/>
          <w:b w:val="0"/>
          <w:color w:val="3A4A28"/>
          <w:sz w:val="20"/>
        </w:rPr>
        <w:t>Medical Products &amp; Therapies margin recovery as Q4 2025 one-time items fade and product mix normalizes, supporting adjusted operating margin improvement toward 13-14%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cut risk — the $0.36 annual payout exceeds GAAP earnings capacity with a 307% payout ratio, and further stock price weakness could force a reduction that triggers additional selling [1]</w:t>
      </w:r>
    </w:p>
    <w:p>
      <w:pPr>
        <w:spacing w:before="40" w:after="40"/>
        <w:ind w:left="283"/>
      </w:pPr>
      <w:r>
        <w:rPr>
          <w:rFonts w:ascii="Calibri" w:hAnsi="Calibri"/>
          <w:b/>
          <w:color w:val="4A6B25"/>
          <w:sz w:val="20"/>
        </w:rPr>
        <w:t xml:space="preserve">2. </w:t>
      </w:r>
      <w:r>
        <w:rPr>
          <w:rFonts w:ascii="Calibri" w:hAnsi="Calibri"/>
          <w:b w:val="0"/>
          <w:color w:val="3A4A28"/>
          <w:sz w:val="20"/>
        </w:rPr>
        <w:t>Debt refinancing risk — $9.8B in debt at rising interest rates could increase financing costs by $200-400M annually if credit conditions tighten or ratings are downgraded [1]</w:t>
      </w:r>
    </w:p>
    <w:p>
      <w:pPr>
        <w:spacing w:before="40" w:after="40"/>
        <w:ind w:left="283"/>
      </w:pPr>
      <w:r>
        <w:rPr>
          <w:rFonts w:ascii="Calibri" w:hAnsi="Calibri"/>
          <w:b/>
          <w:color w:val="4A6B25"/>
          <w:sz w:val="20"/>
        </w:rPr>
        <w:t xml:space="preserve">3. </w:t>
      </w:r>
      <w:r>
        <w:rPr>
          <w:rFonts w:ascii="Calibri" w:hAnsi="Calibri"/>
          <w:b w:val="0"/>
          <w:color w:val="3A4A28"/>
          <w:sz w:val="20"/>
        </w:rPr>
        <w:t>Tariff and supply chain disruption — Baxter's global manufacturing footprint exposes it to tariff escalation that management estimates could further compress margins in 2026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presents moderate opportunity for Baxter through smart infusion pump analytics, connected hospital devices, and predictive supply chain management [1]. The medical devices market increasingly integrates AI for clinical decision support and workflow automation, which Baxter can leverage in its infusion and monitoring systems. However, AI also enables competitors to develop alternative delivery systems and supply chain optimization tools that could erode Baxter's market position in commoditized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Baxter International Q4 2025 Earnings Release and Full-Year Results,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BAX key statistics and analyst estimates, accessed March 2026; Baxter 2026 Guidance and Operating Model Restructuring Announcement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