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BBD</w:t>
      </w:r>
      <w:r>
        <w:rPr>
          <w:rFonts w:ascii="Calibri" w:hAnsi="Calibri"/>
          <w:b/>
          <w:color w:val="1A2010"/>
          <w:sz w:val="40"/>
        </w:rPr>
        <w:t xml:space="preserve">  Banco Bradesco S.A.</w:t>
      </w:r>
    </w:p>
    <w:p>
      <w:pPr>
        <w:spacing w:after="120"/>
      </w:pPr>
      <w:r>
        <w:rPr>
          <w:rFonts w:ascii="Calibri" w:hAnsi="Calibri"/>
          <w:b/>
          <w:color w:val="6E8450"/>
          <w:sz w:val="18"/>
        </w:rPr>
        <w:t>DIVIDEND SLEEVE · 2026-03-23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Brazil</w:t>
      </w:r>
    </w:p>
    <w:p>
      <w:pPr>
        <w:spacing w:after="80"/>
      </w:pPr>
      <w:r>
        <w:rPr>
          <w:rFonts w:ascii="Calibri" w:hAnsi="Calibri"/>
          <w:b w:val="0"/>
          <w:color w:val="3A4A28"/>
          <w:sz w:val="20"/>
        </w:rPr>
        <w:t>Banco Bradesco is one of Brazil's largest private banks, operating through banking and insurance segments with over 71,000 employees. The bank is executing a digital transformation targeting 40 million fully digital clients by 2026 while delivering a strong earnings recovery with recurring net income up 26% YoY in 2025.</w:t>
      </w:r>
    </w:p>
    <w:p>
      <w:r>
        <w:rPr>
          <w:rFonts w:ascii="Calibri" w:hAnsi="Calibri"/>
          <w:b/>
          <w:color w:val="6E8450"/>
          <w:sz w:val="18"/>
        </w:rPr>
        <w:t>71,365 Employees · https://banco.bradesco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Bradesco's digital transformation is impressive — 19 million fully digital clients with a 40x reduction in direct cost-to-serve, targeting ~40 million digital clients by end-2026 [1]. Micro/small/medium company lending grew 21.3%, demonstrating innovative credit underwriting in underserved segments. However, innovation is primarily digital catch-up relative to nubank and other fintechs rather than industry-leading breakthroughs.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Bradesco's 71,365 employees serve as the backbone of Brazilian banking, and the bank's focus on SME lending contributes to economic inclusion. However, Brazilian banking has historically faced criticism for high fees and interest rates, and Bradesco's culture lacks the mission-driven narrative of newer fintech competitors like Nubank. The bank's ROAE of 15.2% exceeding cost of capital for the first time signals improving returns for stakeholders.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Bradesco trades at an attractive 8.5x P/E and 6.3x forward P/E with a 4.7% dividend yield covered by a 68% payout ratio [2]. Net margin of 26.5%, ROE of 13.8%, and recurring net income growth of 26% demonstrate strong profitability recovery. The Tier 1 ratio of 13.2% provides capital adequacy, and the loan portfolio grew 11% with over-90-day delinquency stable at 4.1%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Bradesco shows mixed infinite game traits — the bank's century-long operating history and commitment to Brazilian economic development signal endurance, but the focus on efficiency ratios, cost-to-serve metrics, and quarterly earnings recovery suggest a predominantly finite performance orientation [1].</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Bradesco's role in Brazilian financial inclusion through SME lending (21.3% growth) and digital banking serves a genuine societal need, but the bank lacks an articulated purpose beyond growth and profitability targets.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Bradesco's large workforce of 71,365 and long institutional history create cultural stability, but Brazilian banking culture is hierarchical, and the digital transformation targeting 40x cost reduction implies significant future workforce changes.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Competition with Nubank, Itau Unibanco, and Banco do Brasil drives Bradesco's digital transformation and credit innovation. The bank uses competitive pressure constructively to modernize rather than simply defending legacy positions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digital transformation from 19M to 40M digital clients shows modernization capability, but Bradesco is catching up to Nubank rather than defining the future of Brazilian banking. Insurance and asset management diversification provides some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acknowledged market disappointment with 2026 guidance, showing transparency, but the guidance itself — NII net of provisions of R$42-48B with a wide range — suggests cautious positioning rather than bold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Bradesco is in the middle of a powerful earnings recovery with recurring net income up 26% YoY, ROAE of 15.2% exceeding cost of capital, and the stock trading at just 6.3x forward earnings with a 4.7% dividend yield [1][2]. The digital transformation to 40 million fully digital clients by year-end 2026 is reducing cost-to-serve by 40x, loan growth of 11% with stable 4.1% delinquency demonstrates healthy credit expansion, and the Tier 1 ratio of 13.2% provides room for further growth. Simply Wall St estimates the stock trades at 35.8% below fair value.</w:t>
      </w:r>
    </w:p>
    <w:p>
      <w:pPr>
        <w:spacing w:after="120"/>
      </w:pPr>
      <w:r>
        <w:rPr>
          <w:rFonts w:ascii="Calibri" w:hAnsi="Calibri"/>
          <w:b w:val="0"/>
          <w:color w:val="3A4A28"/>
          <w:sz w:val="20"/>
        </w:rPr>
        <w:t>The bear case includes Brazil's high interest rate environment (Selic at ~13%) which compresses net interest margins, and BRL/USD volatility can erode ADR returns for US investors. Management's 2026 guidance disappointed the market with wide ranges, and Nubank's relentless market share gains in digital banking threaten Bradesco's retail franchise [1]. The restructured portfolio contracted 23% but delinquency stability at 4.1% may mask underlying credit risk in a slowing Brazilian economy. The stock has declined from $3.84 (50-day SMA) to $3.41, suggesting near-term negative momentum.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Digital client base scaling from 19M to 40M by YE2026, driving 40x cost-to-serve reduction and structurally improving the efficiency ratio</w:t>
      </w:r>
    </w:p>
    <w:p>
      <w:pPr>
        <w:spacing w:before="40" w:after="40"/>
        <w:ind w:left="283"/>
      </w:pPr>
      <w:r>
        <w:rPr>
          <w:rFonts w:ascii="Calibri" w:hAnsi="Calibri"/>
          <w:b/>
          <w:color w:val="4A6B25"/>
          <w:sz w:val="20"/>
        </w:rPr>
        <w:t xml:space="preserve">2. </w:t>
      </w:r>
      <w:r>
        <w:rPr>
          <w:rFonts w:ascii="Calibri" w:hAnsi="Calibri"/>
          <w:b w:val="0"/>
          <w:color w:val="3A4A28"/>
          <w:sz w:val="20"/>
        </w:rPr>
        <w:t>Earnings recovery continuation — if ROAE sustains above 15%, the stock's 6.3x forward P/E could re-rate toward the 8-10x range typical of Brazilian banks</w:t>
      </w:r>
    </w:p>
    <w:p>
      <w:pPr>
        <w:spacing w:before="40" w:after="40"/>
        <w:ind w:left="283"/>
      </w:pPr>
      <w:r>
        <w:rPr>
          <w:rFonts w:ascii="Calibri" w:hAnsi="Calibri"/>
          <w:b/>
          <w:color w:val="4A6B25"/>
          <w:sz w:val="20"/>
        </w:rPr>
        <w:t xml:space="preserve">3. </w:t>
      </w:r>
      <w:r>
        <w:rPr>
          <w:rFonts w:ascii="Calibri" w:hAnsi="Calibri"/>
          <w:b w:val="0"/>
          <w:color w:val="3A4A28"/>
          <w:sz w:val="20"/>
        </w:rPr>
        <w:t>SME lending growth of 21%+ expanding into underserved segments could become a structural growth driver as Brazil's middle class continues to formalize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Brazilian Selic rate remaining elevated above 12% would compress lending spreads and slow loan demand, undermining the earnings recovery</w:t>
      </w:r>
    </w:p>
    <w:p>
      <w:pPr>
        <w:spacing w:before="40" w:after="40"/>
        <w:ind w:left="283"/>
      </w:pPr>
      <w:r>
        <w:rPr>
          <w:rFonts w:ascii="Calibri" w:hAnsi="Calibri"/>
          <w:b/>
          <w:color w:val="4A6B25"/>
          <w:sz w:val="20"/>
        </w:rPr>
        <w:t xml:space="preserve">2. </w:t>
      </w:r>
      <w:r>
        <w:rPr>
          <w:rFonts w:ascii="Calibri" w:hAnsi="Calibri"/>
          <w:b w:val="0"/>
          <w:color w:val="3A4A28"/>
          <w:sz w:val="20"/>
        </w:rPr>
        <w:t>BRL depreciation against USD could erode ADR returns — the real has been volatile with 10%+ annual swings against the dollar</w:t>
      </w:r>
    </w:p>
    <w:p>
      <w:pPr>
        <w:spacing w:before="40" w:after="40"/>
        <w:ind w:left="283"/>
      </w:pPr>
      <w:r>
        <w:rPr>
          <w:rFonts w:ascii="Calibri" w:hAnsi="Calibri"/>
          <w:b/>
          <w:color w:val="4A6B25"/>
          <w:sz w:val="20"/>
        </w:rPr>
        <w:t xml:space="preserve">3. </w:t>
      </w:r>
      <w:r>
        <w:rPr>
          <w:rFonts w:ascii="Calibri" w:hAnsi="Calibri"/>
          <w:b w:val="0"/>
          <w:color w:val="3A4A28"/>
          <w:sz w:val="20"/>
        </w:rPr>
        <w:t>Nubank's digital banking share gains (80M+ customers) pose a structural competitive threat to Bradesco's retail franchise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both an enabler and a moderate threat for Bradesco. The bank's digital transformation with 19 million fully digital clients benefits from AI-driven credit scoring, fraud detection, and customer service automation [1]. However, AI-native fintechs like Nubank pose a competitive threat by offering lower-cost services to Bradesco's traditional customer base. The bank's 71,365-employee workforce faces potential displacement from AI-driven automation of branch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Banco Bradesco Q4 2025 Earnings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BBD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Simply Wall St — BBD valuation analysis,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