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BBVA</w:t>
      </w:r>
      <w:r>
        <w:rPr>
          <w:rFonts w:ascii="Calibri" w:hAnsi="Calibri"/>
          <w:b/>
          <w:color w:val="1A2010"/>
          <w:sz w:val="40"/>
        </w:rPr>
        <w:t xml:space="preserve">  Banco Bilbao Vizcaya Argentaria, S.A.</w:t>
      </w:r>
    </w:p>
    <w:p>
      <w:pPr>
        <w:spacing w:after="120"/>
      </w:pPr>
      <w:r>
        <w:rPr>
          <w:rFonts w:ascii="Calibri" w:hAnsi="Calibri"/>
          <w:b/>
          <w:color w:val="6E8450"/>
          <w:sz w:val="18"/>
        </w:rPr>
        <w:t>DIVIDEND SLEEVE · 2026-04-17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Spain</w:t>
      </w:r>
    </w:p>
    <w:p>
      <w:pPr>
        <w:spacing w:after="80"/>
      </w:pPr>
      <w:r>
        <w:rPr>
          <w:rFonts w:ascii="Calibri" w:hAnsi="Calibri"/>
          <w:b w:val="0"/>
          <w:color w:val="3A4A28"/>
          <w:sz w:val="20"/>
        </w:rPr>
        <w:t>Banco Bilbao Vizcaya Argentaria, S.A. (BBVA) is a global financial services group providing retail, wholesale, investment, and transaction banking across Spain, Mexico, Turkey, South America, Europe, the United States, and Asia. Founded in 1857, BBVA operates as a diversified bank with strong digital capabilities, managing insurance, asset management, and capital markets businesses alongside its traditional banking operations.</w:t>
      </w:r>
    </w:p>
    <w:p>
      <w:r>
        <w:rPr>
          <w:rFonts w:ascii="Calibri" w:hAnsi="Calibri"/>
          <w:b/>
          <w:color w:val="6E8450"/>
          <w:sz w:val="18"/>
        </w:rPr>
        <w:t>123,193 Employees · https://www.bbva.com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BBVA has executed a significant digital transformation, creating a Digital Banks unit under Murat Kalkan to enter new markets with fully digital models, and achieving TTM revenue of $39.4B (up from $28.1B in 2022 — a 40% increase over three years) [1]. The proposed Sabadell acquisition would be transformative if completed. AI Deployment (2/2): BBVA has formed a strategic alliance with OpenAI to redefine financial services through AI, expanded ChatGPT Enterprise licenses from 3,300 to 11,000 across the organization, and surpassed 1,000 data scientists on staff — quantifiable AI deployment at scale [2]. Market Share (1/2): BBVA is the second-largest bank in Spain and the largest financial institution in Mexico (BBVA Mexico), holding dominant positions in two major markets, though it faces stiff competition from Santander and CaixaBank in Spain [1]. Pipeline (1/2): The Digital Banks expansion into new markets, the Sabadell acquisition bid, and the OpenAI partnership provide visible growth pipeline, though specific product launch timelines are limited [2]. R&amp;D Intensity (1/1): Technology investment is well above banking sector averages, with BBVA dedicating significant resources to AI, data science, and digital infrastructure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BBVA's purpose — 'to bring the age of opportunity to everyone' — is distinctive and specific, reflecting genuine intentionality about financial inclusion and digital access that differentiates from generic banking platitudes [2]. Leadership references this mission in strategic decisions around digital banking expansion and sustainable finance. Community Impact (1/2): BBVA channeled over €80B in sustainable finance by 2024, and Garanti BBVA (Turkish subsidiary) exceeded $30B in sustainable finance by January 2026 [3]. The bank has ESG restrictions on mining, agribusiness, energy, and defense sector financing, showing values-based capital allocation. Employee Retention (1/2): BBVA's investment in internal AI training (hackathons, communities of practice, 11,000 ChatGPT licenses) signals a culture of employee development, and the 123,193-strong workforce has remained stable [2]. Insider Buying (1/2): CEO Onur Genç and Chair Carlos Torres Vila maintain equity exposure; the 41% payout ratio with aggressive dividend growth (36.7% 5-year CAGR) demonstrates capital discipline aligned with shareholder interests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BBVA's financial profile is among the strongest in European banking. ROE of 18.3% significantly exceeds the 15% target — exceptional for a diversified bank [4]. Profit margin of 33.2% reflects outstanding banking efficiency with operating margins of 50.9% [4]. Forward P/E of 10.2x is deeply undervalued relative to the 20x target, trading at a significant discount to global bank peers [4]. Revenue grew from $28.1B in 2022 to $39.4B in 2025, a 12.0% 3-year CAGR driven by Mexico and Turkey strength [1]. D/E is excluded as banks use different leverage metrics; total cash of $148.5B against $152.8B debt is typical for a major bank. Dividend yield of 4.7% with 37+ years of consecutive payments and a 36.7% 5-year dividend growth CAGR is exceptional — dividends grew from $0.173 in 2020 to $0.827 in 2025 [4]. Payout ratio of 41% is just above the 40% target, maintaining ample retained earnings for growth. Liquidity at $50.6M daily turnover easily clears the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BBVA demonstrates strong infinite-game characteristics through its 168-year history, genuine digital transformation commitment, and purpose-driven banking strategy. The bank's willingness to invest heavily in AI and digital infrastructure ahead of competitors, combined with a distinctive mission around financial inclusion, positions it as a forward-looking institution that plays to keep playing.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BBVA's purpose — 'to bring the age of opportunity to everyone' — is genuine and partially validated by strategic decisions: the Digital Banks unit, $30B+ in sustainable finance, and aggressive digital inclusion efforts in Mexico and Turkey [2][3]. The cause has shaped real capital allocation, though it has not been tested through a major existential crisis. Score: 2 points (genuine cause, partially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BBVA's investment in employee AI training (11,000 ChatGPT Enterprise licenses, hackathons, community of practice) demonstrates a culture that empowers employees rather than threatening them with technology replacement [2]. The 123,193-person workforce has remained stable through the digital transformation. Leadership continuity under Chair Carlos Torres Vila and CEO Onur Genç provides organizational stability. Score: 1 point (adequate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BBVA's competitive posture shows infinite-game characteristics — the bank openly acknowledges fintech competitors' strengths and uses competitive pressure to drive its own digital transformation [2]. The OpenAI partnership and aggressive data science investment reflect a 'learn and improve' mentality rather than a 'beat and destroy' approach to competition. Score: 1 point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BBVA has transformed itself from a traditional Spanish bank into a digital-first global financial institution. The creation of a standalone Digital Banks unit, the sale of BBVA USA to PNC Financial in 2021 ($11.6B) to fund digital transformation, and the OpenAI strategic alliance represent genuine business model evolution driven by the mission rather than desperation [2]. Score: 2 points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BBVA's sale of its U.S. retail banking business for $11.6B in 2021 — walking away from a profitable market to concentrate resources on digital transformation and higher-growth markets — exemplifies courageous leadership [2]. However, the proposed hostile bid for Sabadell introduces execution risk that may reflect growth ambition over strategic discipline. Score: 1 point (some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BBVA is Europe's most compelling bank stock — a digital transformation leader trading at just 10.2x forward earnings with an 18.3% ROE, 33.2% profit margin, and a 4.7% dividend yield that has grown at a 36.7% CAGR over five years [4]. Revenue has grown from $28.1B in 2022 to $39.4B in 2025 (12% CAGR) driven by dominant positions in Mexico and growing Turkish operations [1]. The strategic alliance with OpenAI and 1,000+ data scientists position BBVA at the forefront of AI adoption in banking, while the $30B+ in sustainable finance demonstrates ESG leadership [2][3]. The bank earned $16.59B in 2024 (up 23% YoY), generating substantial excess capital for dividend growth and share buybacks. An MSCI 'AA' ESG rating and S&amp;P Global ESG Score of 89/100 — the best bank in Europe — validates the sustainability strategy [3].</w:t>
      </w:r>
    </w:p>
    <w:p>
      <w:pPr>
        <w:spacing w:after="120"/>
      </w:pPr>
      <w:r>
        <w:rPr>
          <w:rFonts w:ascii="Calibri" w:hAnsi="Calibri"/>
          <w:b w:val="0"/>
          <w:color w:val="3A4A28"/>
          <w:sz w:val="20"/>
        </w:rPr>
        <w:t>The bear case centers on geographic concentration risk, regulatory headwinds, and acquisition execution. Mexico (BBVA's largest profit contributor) faces political uncertainty under the new AMLO-aligned administration, and potential banking regulation changes could compress margins [1]. Turkey's macroeconomic volatility (hyperinflation, lira depreciation) creates earnings volatility despite Garanti BBVA's strong local performance. The proposed Sabadell acquisition has faced regulatory and political resistance in Spain, creating distraction risk and potential overpayment. Revenue growth decelerated sharply to just 0.3% YoY in the most recent period after the strong 2023-2024 ramp, raising questions about whether the growth trajectory is sustainable [4]. European banking regulation (Basel IV implementation) may require additional capital buffers that constrain returns. Currency translation risk across multiple emerging market exposures amplifies earnings volatility for ADR 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OpenAI strategic alliance scaling AI across 123,000 employees with 11,000 ChatGPT Enterprise licenses, driving cost efficiencies and new digital product revenue [2]</w:t>
      </w:r>
    </w:p>
    <w:p>
      <w:pPr>
        <w:spacing w:before="40" w:after="40"/>
        <w:ind w:left="283"/>
      </w:pPr>
      <w:r>
        <w:rPr>
          <w:rFonts w:ascii="Calibri" w:hAnsi="Calibri"/>
          <w:b/>
          <w:color w:val="4A6B25"/>
          <w:sz w:val="20"/>
        </w:rPr>
        <w:t xml:space="preserve">2. </w:t>
      </w:r>
      <w:r>
        <w:rPr>
          <w:rFonts w:ascii="Calibri" w:hAnsi="Calibri"/>
          <w:b w:val="0"/>
          <w:color w:val="3A4A28"/>
          <w:sz w:val="20"/>
        </w:rPr>
        <w:t>Dividend growth trajectory — from $0.173/share in 2020 to $0.827 in 2025 (36.7% CAGR) with a sustainable 41% payout ratio enabling continued double-digit dividend increases [4]</w:t>
      </w:r>
    </w:p>
    <w:p>
      <w:pPr>
        <w:spacing w:before="40" w:after="40"/>
        <w:ind w:left="283"/>
      </w:pPr>
      <w:r>
        <w:rPr>
          <w:rFonts w:ascii="Calibri" w:hAnsi="Calibri"/>
          <w:b/>
          <w:color w:val="4A6B25"/>
          <w:sz w:val="20"/>
        </w:rPr>
        <w:t xml:space="preserve">3. </w:t>
      </w:r>
      <w:r>
        <w:rPr>
          <w:rFonts w:ascii="Calibri" w:hAnsi="Calibri"/>
          <w:b w:val="0"/>
          <w:color w:val="3A4A28"/>
          <w:sz w:val="20"/>
        </w:rPr>
        <w:t>Sabadell acquisition resolution — a successful deal would create Spain's dominant banking franchise with significant cost synergies and market share gains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Mexico political and regulatory risk — BBVA Mexico is the bank's largest profit contributor and faces uncertainty under populist government policies that could cap fees or mandate lending requirements [1]</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to 0.3% YoY after a 12% 3-year CAGR, potentially signaling that the post-pandemic tailwind from rising rates in Mexico and Turkey has peaked [4]</w:t>
      </w:r>
    </w:p>
    <w:p>
      <w:pPr>
        <w:spacing w:before="40" w:after="40"/>
        <w:ind w:left="283"/>
      </w:pPr>
      <w:r>
        <w:rPr>
          <w:rFonts w:ascii="Calibri" w:hAnsi="Calibri"/>
          <w:b/>
          <w:color w:val="4A6B25"/>
          <w:sz w:val="20"/>
        </w:rPr>
        <w:t xml:space="preserve">3. </w:t>
      </w:r>
      <w:r>
        <w:rPr>
          <w:rFonts w:ascii="Calibri" w:hAnsi="Calibri"/>
          <w:b w:val="0"/>
          <w:color w:val="3A4A28"/>
          <w:sz w:val="20"/>
        </w:rPr>
        <w:t>Sabadell acquisition execution risk — political opposition and regulatory scrutiny could delay or block the deal, tying up management attention and excess capital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Banking's core functions — deposit-taking, lending, risk assessment, regulatory compliance — require licensed institutions with deep regulatory moats that AI cannot bypass [1]. BBVA faces some AI exposure in commoditized services like basic account management and simple advisory, where fintech competitors using AI could erode margins. However, BBVA's physical presence, regulatory licenses across 15+ countries, and $148.5B in deposits create structural defenses. The wholesale and investment banking businesses face moderate AI disruption risk in areas like research and trade execution [2]. AI Opportunity (1/1): BBVA generates quantifiable AI revenue through its OpenAI strategic alliance, 1,000+ data scientists, and AI-driven products deployed across digital banking platforms serving millions of customers [2]. The bank's AI-powered risk scoring and customer targeting demonstrably improve unit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CompaniesMarketCap / Yahoo Finance — BBVA revenue history, earnings, and analyst estimates,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BBVA.com — AI strategy, OpenAI partnership, Digital Banks unit, and innovation initiatives, 2025-2026</w:t>
      </w:r>
    </w:p>
    <w:p>
      <w:pPr>
        <w:spacing w:before="20" w:after="20"/>
        <w:ind w:left="170"/>
      </w:pPr>
      <w:r>
        <w:rPr>
          <w:rFonts w:ascii="Calibri" w:hAnsi="Calibri"/>
          <w:b/>
          <w:color w:val="4A6B25"/>
          <w:sz w:val="15"/>
        </w:rPr>
        <w:t xml:space="preserve">3. </w:t>
      </w:r>
      <w:r>
        <w:rPr>
          <w:rFonts w:ascii="Calibri" w:hAnsi="Calibri"/>
          <w:b w:val="0"/>
          <w:color w:val="3A4A28"/>
          <w:sz w:val="17"/>
        </w:rPr>
        <w:t>ESG News / BBVA Sustainability Report — Garanti BBVA $30B sustainable finance, MSCI 'AA' rating, ESG framework, 2025-2026</w:t>
      </w:r>
    </w:p>
    <w:p>
      <w:pPr>
        <w:spacing w:before="20" w:after="20"/>
        <w:ind w:left="170"/>
      </w:pPr>
      <w:r>
        <w:rPr>
          <w:rFonts w:ascii="Calibri" w:hAnsi="Calibri"/>
          <w:b/>
          <w:color w:val="4A6B25"/>
          <w:sz w:val="15"/>
        </w:rPr>
        <w:t xml:space="preserve">4. </w:t>
      </w:r>
      <w:r>
        <w:rPr>
          <w:rFonts w:ascii="Calibri" w:hAnsi="Calibri"/>
          <w:b w:val="0"/>
          <w:color w:val="3A4A28"/>
          <w:sz w:val="17"/>
        </w:rPr>
        <w:t>yfinance data for BBVA (Banco Bilbao Vizcaya Argentaria),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