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BCRX</w:t>
      </w:r>
      <w:r>
        <w:rPr>
          <w:rFonts w:ascii="Calibri" w:hAnsi="Calibri"/>
          <w:b/>
          <w:color w:val="1A2010"/>
          <w:sz w:val="40"/>
        </w:rPr>
        <w:t xml:space="preserve">  BioCryst Pharmaceuticals, Inc.</w:t>
      </w:r>
    </w:p>
    <w:p>
      <w:pPr>
        <w:spacing w:after="120"/>
      </w:pPr>
      <w:r>
        <w:rPr>
          <w:rFonts w:ascii="Calibri" w:hAnsi="Calibri"/>
          <w:b/>
          <w:color w:val="6E8450"/>
          <w:sz w:val="18"/>
        </w:rPr>
        <w:t>GROWTH SLEEVE · 2026-03-31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BioCryst Pharmaceuticals is a biotechnology company focused on oral small-molecule and injectable protein therapeutics for rare diseases. Its flagship product ORLADEYO (berotralstat) is an oral treatment for hereditary angioedema (HAE). The company recently acquired Astria Therapeutics to expand its HAE portfolio and is developing pipeline candidates for netherton syndrome, diabetic macular edema, and atopic dermatitis.</w:t>
      </w:r>
    </w:p>
    <w:p>
      <w:r>
        <w:rPr>
          <w:rFonts w:ascii="Calibri" w:hAnsi="Calibri"/>
          <w:b/>
          <w:color w:val="6E8450"/>
          <w:sz w:val="18"/>
        </w:rPr>
        <w:t>435 Employees · https://www.biocryst.com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BioCryst achieved its first full year of profitability in 2025 with $875M revenue and $264M net income, driven by ORLADEYO net revenue of $601M (up 37% YoY), exceeding guidance of $590-600M [1]. Q4 2025 EPS of $1.12 vs. a loss of -$0.13 prior year represents a dramatic turnaround. AI Deployment (1/2): BioCryst leverages structure-guided drug design integrating crystallography, medicinal chemistry, and computer modeling, though specific AI/ML deployment in drug discovery is limited compared to AI-native biotechs [2]. Market Share (2/2): ORLADEYO is a leading oral HAE prophylactic treatment, and the Astria Therapeutics acquisition (navenibart, a monoclonal antibody) strengthens BioCryst's dominant position in the $2B+ HAE market [1]. Pipeline (1/2): BCX17725 (netherton syndrome, Phase 1), avoralstat (diabetic macular edema, Phase 1), and STAR-0310 (atopic dermatitis, Phase 1a) diversify beyond HAE but are all early-stage [2]. R&amp;D Intensity (1/1): Sustained R&amp;D investment in rare disease pipeline with structure-guided drug design expertise spanning nearly four decades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BioCryst's mission to develop medicines for rare diseases where patients have limited treatment options provides genuine social impact — HAE affects ~1 in 50,000 people with potentially life-threatening swelling episodes [2]. The company describes its culture as 'flexible, transparent, and human.' Community Impact (1/2): Serving rare disease patients with 435 employees creates meaningful but niche impact; ORLADEYO transformed HAE treatment by providing the first oral prophylactic option [1]. Employee Retention (1/2): Glassdoor rating of 3.9/5 with 79% recommending the company is solid for biotech; CEO Stonehouse has 77% approval and 18.8-year tenure providing stability [2]. However, some reviews cite 'toxic environment where leadership hates dissent' and micromanagement concerns. Insider Buying (1/2): CEO compensation of $8.32M (91.5% stock-based) aligns interests, and 99.6% institutional ownership signals confidence, though recent insider selling transactions noted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BioCryst's financial transformation is remarkable: trailing P/E of 7.9x and forward P/E of 11.9x for a biotech growing revenue 37%+ is deeply undervalued [4]. Profit margin of 30.2% with gross margins of 79.1% and operating margins of 65.6% demonstrate exceptional pricing power in rare disease [4]. Revenue of $875M with free cash flow of $256M shows the commercial engine is working. D/E and ROE are not calculable due to negative book value from accumulated losses, which is typical for biotechs transitioning to profitability. Total debt of $477M vs. $275M cash is manageable given $256M annual FCF [4]. 2026 guidance of $635-660M total revenue (ORLADEYO-only basis) implies modest organic growth as Astria integration provides upside. Liquidity floor: 5.5M avg vol x $9.52 = $52.2M, easily cleared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BioCryst demonstrates infinite game characteristics through its 38-year commitment to rare disease drug development and the patient long road from founding (1986) to first profitable year (2025). CEO Stonehouse's 18.8-year tenure provides strategic continuity. However, heavy dependence on a single product (ORLADEYO) and early-stage diversification pipeline create finite-game vulnerability if competition intensifies.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Developing medicines for patients with rare diseases who have limited treatment options is an enduring and morally compelling just cause [2]. BioCryst persisted through nearly four decades of losses before achieving profitability, demonstrating genuine commitment to the mission beyond short-term financial returns. The acquisition of Astria deepens this commitment to HAE patients.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Stonehouse's 77% Glassdoor approval and 18.8-year tenure create leadership stability rare in biotech [2]. The 3.9/5 overall Glassdoor rating with 79% recommendation rate is respectable. However, criticism of micromanagement ('leadership hates dissent'), an 'old-boy network,' and high turnover among newer employees suggest trust is concentrated at the top rather than distributed across the organization.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BioCryst competes with Takeda (Takhzyro/lanadelumab) and CSL Behring in the HAE space. The Astria acquisition of navenibart — a next-generation monoclonal antibody — shows BioCryst is proactively building competitive depth rather than relying solely on ORLADEYO [1]. Analyst targets of $17-22 reflect confidence in the competitive position, and takeover speculation suggests larger pharma sees strategic value.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BioCryst has expanded from antiviral research (RAPIVAB) to HAE (ORLADEYO) and is now diversifying into netherton syndrome, diabetic macular edema, and atopic dermatitis [2]. The Astria acquisition represents meaningful strategic flexibility within rare disease. However, all pipeline candidates are Phase 1, creating a 3-5 year gap before meaningful revenue diversification could materialize.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Operating at a loss for nearly four decades before achieving profitability required extraordinary perseverance from leadership [1]. The Astria acquisition — while expanding the HAE franchise — was bold for a company only recently profitable, taking on integration risk to build long-term competitive advantage. The 43% female executive team demonstrates inclusive leadership practices.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BioCryst is a rare disease biotech that has reached a compelling inflection point — its first full year of profitability in 2025 with $875M revenue, $264M net income, and 30% profit margins, powered by ORLADEYO's $601M in HAE sales (up 37% YoY) [1]. At 7.9x trailing P/E and 11.9x forward P/E, the stock trades at a steep discount to biotech peers, likely reflecting skepticism about single-product concentration and the Astria acquisition integration. The Astria deal adds navenibart (Phase 3 monoclonal antibody for HAE) to create the industry's most comprehensive HAE portfolio. With 79% gross margins, $256M free cash flow, and analyst price targets of $17-22 (78-131% upside from $9.52), BCRX offers significant value if execution continues [1][4].</w:t>
      </w:r>
    </w:p>
    <w:p>
      <w:pPr>
        <w:spacing w:after="120"/>
      </w:pPr>
      <w:r>
        <w:rPr>
          <w:rFonts w:ascii="Calibri" w:hAnsi="Calibri"/>
          <w:b w:val="0"/>
          <w:color w:val="3A4A28"/>
          <w:sz w:val="20"/>
        </w:rPr>
        <w:t>The bear case centers on ORLADEYO concentration risk — the drug represents virtually all revenue, and competition from Takeda's Takhzyro and emerging therapies could pressure market share [2]. The 2026 guidance of $635-660M total revenue implies modest ~4% organic growth on an ORLADEYO-only basis, raising questions about the durability of the 37% growth rate. All pipeline diversification candidates (netherton syndrome, DME, atopic dermatitis) are Phase 1, requiring 3-5 years and significant capital before potential revenue contribution. The Astria integration creates near-term execution risk and dilution. Negative book value and $477M debt vs. $275M cash reflect years of accumulated losses, though $256M annual FCF provides a clear deleveraging path [4]. Takeover speculation (rumored $15B+ pharma acquirer) could cap upside or create a premium exit.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Astria Therapeutics acquisition closing adds navenibart (Phase 3 HAE monoclonal antibody) to create the most comprehensive HAE portfolio in the industry [1]</w:t>
      </w:r>
    </w:p>
    <w:p>
      <w:pPr>
        <w:spacing w:before="40" w:after="40"/>
        <w:ind w:left="283"/>
      </w:pPr>
      <w:r>
        <w:rPr>
          <w:rFonts w:ascii="Calibri" w:hAnsi="Calibri"/>
          <w:b/>
          <w:color w:val="4A6B25"/>
          <w:sz w:val="20"/>
        </w:rPr>
        <w:t xml:space="preserve">2. </w:t>
      </w:r>
      <w:r>
        <w:rPr>
          <w:rFonts w:ascii="Calibri" w:hAnsi="Calibri"/>
          <w:b w:val="0"/>
          <w:color w:val="3A4A28"/>
          <w:sz w:val="20"/>
        </w:rPr>
        <w:t>ORLADEYO commercial momentum — 37% YoY growth to $601M in 2025 with highest-ever new patient prescriptions, 2026 guidance of $625-645M [1]</w:t>
      </w:r>
    </w:p>
    <w:p>
      <w:pPr>
        <w:spacing w:before="40" w:after="40"/>
        <w:ind w:left="283"/>
      </w:pPr>
      <w:r>
        <w:rPr>
          <w:rFonts w:ascii="Calibri" w:hAnsi="Calibri"/>
          <w:b/>
          <w:color w:val="4A6B25"/>
          <w:sz w:val="20"/>
        </w:rPr>
        <w:t xml:space="preserve">3. </w:t>
      </w:r>
      <w:r>
        <w:rPr>
          <w:rFonts w:ascii="Calibri" w:hAnsi="Calibri"/>
          <w:b w:val="0"/>
          <w:color w:val="3A4A28"/>
          <w:sz w:val="20"/>
        </w:rPr>
        <w:t>Takeover speculation — Betaville alert suggesting $15B+ U.S. biopharma interest, analyst price targets of $17-22 representing 78-131% upside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 ORLADEYO generates virtually all revenue; competitive pressure from Takeda's Takhzyro and emerging HAE therapies could erode market share [2]</w:t>
      </w:r>
    </w:p>
    <w:p>
      <w:pPr>
        <w:spacing w:before="40" w:after="40"/>
        <w:ind w:left="283"/>
      </w:pPr>
      <w:r>
        <w:rPr>
          <w:rFonts w:ascii="Calibri" w:hAnsi="Calibri"/>
          <w:b/>
          <w:color w:val="4A6B25"/>
          <w:sz w:val="20"/>
        </w:rPr>
        <w:t xml:space="preserve">2. </w:t>
      </w:r>
      <w:r>
        <w:rPr>
          <w:rFonts w:ascii="Calibri" w:hAnsi="Calibri"/>
          <w:b w:val="0"/>
          <w:color w:val="3A4A28"/>
          <w:sz w:val="20"/>
        </w:rPr>
        <w:t>Pipeline execution risk — all diversification candidates (BCX17725, avoralstat, STAR-0310) are Phase 1, requiring 3-5 years and significant R&amp;D investment with uncertain outcomes [2]</w:t>
      </w:r>
    </w:p>
    <w:p>
      <w:pPr>
        <w:spacing w:before="40" w:after="40"/>
        <w:ind w:left="283"/>
      </w:pPr>
      <w:r>
        <w:rPr>
          <w:rFonts w:ascii="Calibri" w:hAnsi="Calibri"/>
          <w:b/>
          <w:color w:val="4A6B25"/>
          <w:sz w:val="20"/>
        </w:rPr>
        <w:t xml:space="preserve">3. </w:t>
      </w:r>
      <w:r>
        <w:rPr>
          <w:rFonts w:ascii="Calibri" w:hAnsi="Calibri"/>
          <w:b w:val="0"/>
          <w:color w:val="3A4A28"/>
          <w:sz w:val="20"/>
        </w:rPr>
        <w:t>Astria integration risk — acquiring a company while only recently profitable creates operational complexity and potential dilution if synergies are delayed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BioCryst's rare disease focus provides natural insulation from AI disruption — HAE treatment requires specialized clinical development, regulatory expertise, and patient-level relationships that AI cannot easily replicate [2]. The company's structure-guided drug design uses computational chemistry and modeling, but has not publicly adopted AI/ML-driven drug discovery platforms at the scale of competitors like Recursion or Insilico Medicine. This creates a moderate risk that AI-native biotechs could accelerate competitive pipeline development in adjacent rare disease indications. AI Opportunity (1/1): AI-enhanced clinical trial design, patient identification, and drug discovery could meaningfully accelerate BioCryst's early-stage pipeline (BCX17725, avoralstat, STAR-0310) if adopted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BioCryst Full Year 2025 Financial Results — $875M revenue, $264M net income, $601M ORLADEYO sales, 2026 guidance $635-660M, February 2026</w:t>
      </w:r>
    </w:p>
    <w:p>
      <w:pPr>
        <w:spacing w:before="20" w:after="20"/>
        <w:ind w:left="170"/>
      </w:pPr>
      <w:r>
        <w:rPr>
          <w:rFonts w:ascii="Calibri" w:hAnsi="Calibri"/>
          <w:b/>
          <w:color w:val="4A6B25"/>
          <w:sz w:val="15"/>
        </w:rPr>
        <w:t xml:space="preserve">2. </w:t>
      </w:r>
      <w:r>
        <w:rPr>
          <w:rFonts w:ascii="Calibri" w:hAnsi="Calibri"/>
          <w:b w:val="0"/>
          <w:color w:val="3A4A28"/>
          <w:sz w:val="17"/>
        </w:rPr>
        <w:t>BioCryst Pharmaceuticals corporate website, Glassdoor reviews (3.9/5, 77% CEO approval), pipeline overview, and analyst coverage from BeyondSPX and Simply Wall St</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Risk Rating (Medium exposure, Average management), takeover speculation via GuruFocus and StockTwits, insider activity</w:t>
      </w:r>
    </w:p>
    <w:p>
      <w:pPr>
        <w:spacing w:before="20" w:after="20"/>
        <w:ind w:left="170"/>
      </w:pPr>
      <w:r>
        <w:rPr>
          <w:rFonts w:ascii="Calibri" w:hAnsi="Calibri"/>
          <w:b/>
          <w:color w:val="4A6B25"/>
          <w:sz w:val="15"/>
        </w:rPr>
        <w:t xml:space="preserve">4. </w:t>
      </w:r>
      <w:r>
        <w:rPr>
          <w:rFonts w:ascii="Calibri" w:hAnsi="Calibri"/>
          <w:b w:val="0"/>
          <w:color w:val="3A4A28"/>
          <w:sz w:val="17"/>
        </w:rPr>
        <w:t>Yahoo Finance — BCRX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