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BCS</w:t>
      </w:r>
      <w:r>
        <w:rPr>
          <w:rFonts w:ascii="Calibri" w:hAnsi="Calibri"/>
          <w:b/>
          <w:color w:val="1A2010"/>
          <w:sz w:val="40"/>
        </w:rPr>
        <w:t xml:space="preserve">  Barclays PLC</w:t>
      </w:r>
    </w:p>
    <w:p>
      <w:pPr>
        <w:spacing w:after="120"/>
      </w:pPr>
      <w:r>
        <w:rPr>
          <w:rFonts w:ascii="Calibri" w:hAnsi="Calibri"/>
          <w:b/>
          <w:color w:val="6E8450"/>
          <w:sz w:val="18"/>
        </w:rPr>
        <w:t>DIVIDEND SLEEVE · 2026-03-28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Barclays PLC is a 330-year-old British universal bank operating across Barclays UK, UK Corporate Bank, Private Bank &amp; Wealth Management, Investment Bank, and US Consumer Bank segments. The company provides retail banking, wholesale banking, investment banking, wealth management, and credit card services across the UK, Europe, Americas, Africa, Middle East, and Asia.</w:t>
      </w:r>
    </w:p>
    <w:p>
      <w:r>
        <w:rPr>
          <w:rFonts w:ascii="Calibri" w:hAnsi="Calibri"/>
          <w:b/>
          <w:color w:val="6E8450"/>
          <w:sz w:val="18"/>
        </w:rPr>
        <w:t>93,000 Employees · https://home.barclays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Barclays grew investment bank income 11% to £13B in 2025 with Global Markets trading revenue up 15%, and completed the Tesco Bank acquisition to strengthen UK retail [1]. However, the core banking model has not fundamentally transformed — incremental improvements rather than reinvention. AI Deployment (1/2): Barclays has deployed GenAI internally — a colleague assistant reducing call handling times in UK retail, BarxBot for FX trading, and Microsoft Copilot rollout across the firm [2]. However, these are efficiency tools, not customer-facing AI products generating new revenue. No specific cost savings quantified publicly. Market Share (1/2): Barclays is a top-5 UK retail bank and a meaningful global investment bank, but does not dominate any single category — JPMorgan, Goldman, and HSBC hold stronger positions in investment banking and global markets respectively [1]. Pipeline (1/2): £31B group income target for 2026 (upgraded from £30B), NII guidance of £8.1-8.3B for 2026, and ongoing AI integration roadmap with agentic AI patterns in development [1][2]. R&amp;D Intensity (0/1): Barclays' technology spending is in line with but not above global banking peers; HSBC and JPMorgan rank higher on external AI innovation indices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Barclays' purpose is framed around being a responsible, innovative bank serving customers and communities, but it reads as generic financial services positioning — interchangeable with most global banks [3]. The 330-year heritage provides institutional weight but not a distinctive Just Cause. Community Impact (1/2): Barclays is a founding funder of the Just Transition Finance Lab at LSE, a signatory to the Equator Principles since 2003, and has 'doubled down' on ESG while rivals retreated [3]. These are meaningful but standard for a bank of this size. Employee Retention (1/2): 78% of Glassdoor reviewers recommend Barclays, with 3.9/5 ratings for work-life balance and culture — above average for large banks [2]. However, some reviews cite promotion by politics rather than merit. Insider Buying (0/2): No evidence of meaningful insider buying by CEO Venkatakrishnan or other executives in the last 12 months. CEO compensation of £4.4M is modest for a bank of this size but no personal stock purchases were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Barclays' financial profile is strong for a diversified bank. Pre-tax profit of £9.1B (up 12% YoY) on £29.1B income demonstrates earnings power, with a 26.7% profit margin and RoTE target of 12%+ [1]. Forward P/E of 6.0x is deeply discounted, reflecting UK bank valuations rather than fundamental weakness. ROE of 9.6% is below the 15% target but improving, with management targeting higher returns through 2028 [1]. Revenue grew 14.1% YoY with 5-year CAGR of ~9%. The 20.5% payout ratio is conservative, and Barclays plans £2B in dividends for 2026 with £15B+ in total capital returns through 2028 [1]. Dividend yield of 2.27% with ~5 consecutive years paid post-COVID restart and ~3 years of growth. D/E unavailable for bank capital structures. Liquidity floor cleared: $20.24 × 7.3M avg volume = $148M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Barclays has survived 330 years, which itself demonstrates some infinite game qualities, but the modern institution operates with a finite mindset — optimizing for RoTE targets, capital returns, and quarterly performance. CEO Venkatakrishnan's integrity-first leadership style and the ESG commitment show elements of long-term thinking, but strategic decisions are primarily financial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Barclays' 330-year heritage is remarkable, but the company lacks a distinctive Just Cause beyond 'be a good bank' [3]. CEO Venkatakrishnan emphasizes integrity and trust, but these are table stakes for banking, not a vision of a future state so compelling people sacrifice to advance it. The bank's strategic communication focuses on RoTE targets and capital returns — finite language. Sinek would note that longevity alone does not equal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shows 78% of employees recommend Barclays with 3.9/5 culture rating, suggesting adequate trust for a 93,000-person global bank [2]. CEO Venkatakrishnan's emphasis that 'values are not abstract; they are the foundation of trust' sets a positive tone from the top. However, some reviews cite merit-bypassing promotions and political culture, and the matrix organizational structure can create friction [2]. Average for a large bank,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Barclays' competitive narrative centers on closing the gap with JPMorgan in investment banking and defending UK market share against fintech challengers — finite competitive framing focused on 'winning' rather than learning [1]. No evidence from management commentary of acknowledging rivals' strengths as motivation for self-improvement. The bank's research arm ironically shows more nuanced competitive thinking (AI disruption analysis) than its strategic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Over 330 years, Barclays has adapted from a goldsmith's shop to a global universal bank, demonstrating remarkable institutional flexibility [3]. More recently, the pivot from overweight investment banking (under Jes Staley) to a more balanced model under Venkatakrishnan, and the decision to 'double down' on ESG while American peers retreated, show incremental adaptation. However, no single transformative pivot defines the modern era — evolution, not revolution.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Barclays 'doubled down' on ESG as rivals backed away — a courageous stance that may cost in the short term but builds long-term credibility with European stakeholders [3]. CEO Venkatakrishnan's emphasis on integrity and the planned £15B+ capital return program (2026-2028) shows long-term thinking. However, pausing buybacks to fix the balance sheet was reactive rather than proactive, and Citi analysts described the 2026 targets as 'somewhat muted'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Barclays trades at 6.0x forward earnings — a deep discount to U.S. peers — while delivering improving fundamentals: £9.1B pre-tax profit (up 12% YoY), £29.1B income (up 9%), and EPS growth of 22% [1]. The upgraded 2026 income guidance of £31B and £8.1-8.3B NII guidance signal continued momentum. Management's plan to return £15B+ to shareholders through 2028 (including £2B in 2026 dividends) provides a tangible capital return floor, and the 2.27% dividend yield with 20.5% payout ratio leaves significant room for growth [1]. The Tesco Bank acquisition strengthens UK retail, and investment bank intermediation revenues benefit from volatile markets.</w:t>
      </w:r>
    </w:p>
    <w:p>
      <w:pPr>
        <w:spacing w:after="120"/>
      </w:pPr>
      <w:r>
        <w:rPr>
          <w:rFonts w:ascii="Calibri" w:hAnsi="Calibri"/>
          <w:b w:val="0"/>
          <w:color w:val="3A4A28"/>
          <w:sz w:val="20"/>
        </w:rPr>
        <w:t>The bear case centers on execution risk and structural UK banking headwinds. Barclays paused buybacks to address £26B in debt, which eroded investor confidence and signals balance sheet concerns [1]. The US Consumer Bank faces heavy competition from domestic incumbents, with Citi analysts expressing skepticism about growth ambitions. The January 2025 mainframe IT failure exposed legacy infrastructure risk across the 93,000-employee organization [2]. UK economic uncertainty, potential rate cuts compressing NII, and Brexit-related regulatory complexity create macro headwinds. The stock's 52-week range of $12.14 to $27.70 reflects significant volatility. AI-native fintech competitors threaten the consumer banking franchise, and Barclays ranks behind HSBC and JPMorgan on AI innovation benchmarks [2]. Regulatory capital requirements limit financial flexibility relative to U.S. bank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£15B+ shareholder return program through 2028 including £2B planned 2026 dividend, providing tangible capital return floor at a 6x forward P/E [1]</w:t>
      </w:r>
    </w:p>
    <w:p>
      <w:pPr>
        <w:spacing w:before="40" w:after="40"/>
        <w:ind w:left="283"/>
      </w:pPr>
      <w:r>
        <w:rPr>
          <w:rFonts w:ascii="Calibri" w:hAnsi="Calibri"/>
          <w:b/>
          <w:color w:val="4A6B25"/>
          <w:sz w:val="20"/>
        </w:rPr>
        <w:t xml:space="preserve">2. </w:t>
      </w:r>
      <w:r>
        <w:rPr>
          <w:rFonts w:ascii="Calibri" w:hAnsi="Calibri"/>
          <w:b w:val="0"/>
          <w:color w:val="3A4A28"/>
          <w:sz w:val="20"/>
        </w:rPr>
        <w:t>Upgraded 2026 income guidance to £31B (from £30B) with NII of £8.1-8.3B driven by structural hedge rolling at higher rates [1]</w:t>
      </w:r>
    </w:p>
    <w:p>
      <w:pPr>
        <w:spacing w:before="40" w:after="40"/>
        <w:ind w:left="283"/>
      </w:pPr>
      <w:r>
        <w:rPr>
          <w:rFonts w:ascii="Calibri" w:hAnsi="Calibri"/>
          <w:b/>
          <w:color w:val="4A6B25"/>
          <w:sz w:val="20"/>
        </w:rPr>
        <w:t xml:space="preserve">3. </w:t>
      </w:r>
      <w:r>
        <w:rPr>
          <w:rFonts w:ascii="Calibri" w:hAnsi="Calibri"/>
          <w:b w:val="0"/>
          <w:color w:val="3A4A28"/>
          <w:sz w:val="20"/>
        </w:rPr>
        <w:t>Investment bank growth — Global Markets trading revenue up 15% in 2025 with intermediation revenues benefiting from elevated market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IT infrastructure vulnerability — January 2025 mainframe failure caused widespread service disruptions and compensation costs, exposing modernization risk across 330-year-old systems [2]</w:t>
      </w:r>
    </w:p>
    <w:p>
      <w:pPr>
        <w:spacing w:before="40" w:after="40"/>
        <w:ind w:left="283"/>
      </w:pPr>
      <w:r>
        <w:rPr>
          <w:rFonts w:ascii="Calibri" w:hAnsi="Calibri"/>
          <w:b/>
          <w:color w:val="4A6B25"/>
          <w:sz w:val="20"/>
        </w:rPr>
        <w:t xml:space="preserve">2. </w:t>
      </w:r>
      <w:r>
        <w:rPr>
          <w:rFonts w:ascii="Calibri" w:hAnsi="Calibri"/>
          <w:b w:val="0"/>
          <w:color w:val="3A4A28"/>
          <w:sz w:val="20"/>
        </w:rPr>
        <w:t>UK economic and regulatory headwinds — potential rate cuts compressing NII, post-Brexit regulatory divergence, and PRA capital requirements limiting financial flexibility [1]</w:t>
      </w:r>
    </w:p>
    <w:p>
      <w:pPr>
        <w:spacing w:before="40" w:after="40"/>
        <w:ind w:left="283"/>
      </w:pPr>
      <w:r>
        <w:rPr>
          <w:rFonts w:ascii="Calibri" w:hAnsi="Calibri"/>
          <w:b/>
          <w:color w:val="4A6B25"/>
          <w:sz w:val="20"/>
        </w:rPr>
        <w:t xml:space="preserve">3. </w:t>
      </w:r>
      <w:r>
        <w:rPr>
          <w:rFonts w:ascii="Calibri" w:hAnsi="Calibri"/>
          <w:b w:val="0"/>
          <w:color w:val="3A4A28"/>
          <w:sz w:val="20"/>
        </w:rPr>
        <w:t>US Consumer Bank execution risk — growth ambitions face skepticism from analysts (Citi) given heavy competition from domestic incumbents with stronger brand recognition and distribution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Barclays' core retail and investment banking operations are protected by heavy regulation (PRA, FCA, Fed), capital requirements, and relationship-based business models that AI cannot easily replicate [2]. The investment bank's intermediation and advisory businesses require human judgment and regulatory compliance. However, consumer banking (credit cards, payments) faces real fintech disruption from AI-native competitors, and Barclays lags HSBC and JPMorgan on AI innovation indices [2]. The January 2025 mainframe IT failure exposed legacy infrastructure vulnerability. AI Opportunity (1/1): Barclays is deploying AI operationally — BarxBot for FX trading, GenAI reducing call handling times, Microsoft Copilot across the firm, and emerging agentic AI patterns [2]. While not generating new AI revenue externally, the internal efficiency gains across 93,000 employees represent meaningful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Barclays FY2025 Annual Results — £9.1B pre-tax profit, £29.1B income, 22% EPS growth, February 10, 2026</w:t>
      </w:r>
    </w:p>
    <w:p>
      <w:pPr>
        <w:spacing w:before="20" w:after="20"/>
        <w:ind w:left="170"/>
      </w:pPr>
      <w:r>
        <w:rPr>
          <w:rFonts w:ascii="Calibri" w:hAnsi="Calibri"/>
          <w:b/>
          <w:color w:val="4A6B25"/>
          <w:sz w:val="15"/>
        </w:rPr>
        <w:t xml:space="preserve">2. </w:t>
      </w:r>
      <w:r>
        <w:rPr>
          <w:rFonts w:ascii="Calibri" w:hAnsi="Calibri"/>
          <w:b w:val="0"/>
          <w:color w:val="3A4A28"/>
          <w:sz w:val="17"/>
        </w:rPr>
        <w:t>Barclays AI Strategy — BarxBot, GenAI colleague assistant, Microsoft Copilot deployment, Klover.ai analysis and Barclays Insights, 2025-2026</w:t>
      </w:r>
    </w:p>
    <w:p>
      <w:pPr>
        <w:spacing w:before="20" w:after="20"/>
        <w:ind w:left="170"/>
      </w:pPr>
      <w:r>
        <w:rPr>
          <w:rFonts w:ascii="Calibri" w:hAnsi="Calibri"/>
          <w:b/>
          <w:color w:val="4A6B25"/>
          <w:sz w:val="15"/>
        </w:rPr>
        <w:t xml:space="preserve">3. </w:t>
      </w:r>
      <w:r>
        <w:rPr>
          <w:rFonts w:ascii="Calibri" w:hAnsi="Calibri"/>
          <w:b w:val="0"/>
          <w:color w:val="3A4A28"/>
          <w:sz w:val="17"/>
        </w:rPr>
        <w:t>Barclays ESG and Sustainability — 'Doubled Down' on ESG, Just Transition Finance Lab, Equator Principles, Bloomberg May 2025</w:t>
      </w:r>
    </w:p>
    <w:p>
      <w:pPr>
        <w:spacing w:before="20" w:after="20"/>
        <w:ind w:left="170"/>
      </w:pPr>
      <w:r>
        <w:rPr>
          <w:rFonts w:ascii="Calibri" w:hAnsi="Calibri"/>
          <w:b/>
          <w:color w:val="4A6B25"/>
          <w:sz w:val="15"/>
        </w:rPr>
        <w:t xml:space="preserve">4. </w:t>
      </w:r>
      <w:r>
        <w:rPr>
          <w:rFonts w:ascii="Calibri" w:hAnsi="Calibri"/>
          <w:b w:val="0"/>
          <w:color w:val="3A4A28"/>
          <w:sz w:val="17"/>
        </w:rPr>
        <w:t>Columbia Business School — 5 Leadership Lessons from CEO C.S. Venkatakrishnan,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BCS (Barclays),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