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BDN</w:t>
      </w:r>
      <w:r>
        <w:rPr>
          <w:rFonts w:ascii="Calibri" w:hAnsi="Calibri"/>
          <w:b/>
          <w:color w:val="1A2010"/>
          <w:sz w:val="40"/>
        </w:rPr>
        <w:t xml:space="preserve">  Brandywine Realty Trust</w:t>
      </w:r>
    </w:p>
    <w:p>
      <w:pPr>
        <w:spacing w:after="120"/>
      </w:pPr>
      <w:r>
        <w:rPr>
          <w:rFonts w:ascii="Calibri" w:hAnsi="Calibri"/>
          <w:b/>
          <w:color w:val="6E8450"/>
          <w:sz w:val="18"/>
        </w:rPr>
        <w:t>DIVIDEND SLEEVE · 2026-04-07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Brandywine Realty Trust is a full-service integrated REIT owning, developing, leasing, and managing 120 properties comprising 20 million square feet of urban, town center, and transit-oriented office and mixed-use space, with core markets in Philadelphia and Austin, Texas.</w:t>
      </w:r>
    </w:p>
    <w:p>
      <w:r>
        <w:rPr>
          <w:rFonts w:ascii="Calibri" w:hAnsi="Calibri"/>
          <w:b/>
          <w:color w:val="6E8450"/>
          <w:sz w:val="18"/>
        </w:rPr>
        <w:t>268 Employees · https://www.brandywinerealty.com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Brandywine has maintained its portfolio through the post-COVID office downturn with 88.3% occupancy and 90.4% leased, projecting 120bps occupancy improvement and first positive net absorption in several years [1]. However, the company has not launched transformative products or pivoted its business model. AI Deployment (0/2): No evidence of AI-powered products or measurable AI-driven operational savings; the company employs a Chief Technology and Innovation Officer (Jim Kurek) but innovation focuses on tenant experience (BEX co-working) rather than AI deployment [2]. Market Share (1/2): Brandywine is one of the largest office REITs focused on Philadelphia and Austin, with 20M sq ft under management, giving it a meaningful local market position [1]. Pipeline (1/2): The Schuylkill Yards mixed-use development in West Philadelphia represents a significant development pipeline, and the company expects $280-300M of sales activity in 2026 at 8% cap rates [1]. R&amp;D Intensity (0/1): Not applicable for a REIT — Brandywine invests in property development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Brandywine's purpose is 'to shape, connect and inspire the world around us through our expertise, the relationships we foster, the communities in which we live and work, and the history we build together' — specific, thoughtful, and clearly crafted with intentionality [2]. Founded by CEO Jerry Sweeney in 1994, the mission connects real estate to community building. Community Impact (2/2): Brandywine invested more than $16M in the local community through the Schuylkill Yards development, collaborating with West Philadelphia neighborhoods on economic development [3]. The company has industry-leading ESG ratings including ISS Governance Quality Score of 1 (highest possible) and MSCI A rating [3]. Employee Retention (0/2): Only 268 employees; no publicly available retention or tenure data for a small workforce [2]. Insider Buying (0/2): No evidence of meaningful insider buying; CEO Sweeney has led since 1994 but no recent purchase data available with stock down significantly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Brandywine's financial profile reflects the severe challenges facing office REITs. D/E of 323.7% exceeds the 300% floor, scoring zero on leverage [4]. ROE is -19.4% and profit margin is -41.4%, both at floor values indicating the company is losing money [4]. Revenue grew 29.2% YoY (likely due to asset sales or one-time items rather than organic growth), and 5-year revenue CAGR of -1.4% reflects the structural office demand decline [4]. Forward P/E is deeply negative (-132x), confirming expected continued losses. The dividend yield of 15.2% appears attractive but masks a 543% payout ratio that is clearly unsustainable — the dividend has been cut from $0.76/share (2019-2022) to $0.53 in 2025, with further cuts likely [4]. Consecutive years paid: 33, which provides the only infrastructure strength. Liquidity floor: 2.99M avg vol × $2.64 = $7.89M — passes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Brandywine under founder-CEO Jerry Sweeney (32 years of leadership since 1994) demonstrates enduring commitment to its Philadelphia and Austin markets through the worst office downturn in decades. The company's community investment and ESG leadership show infinite game values, but the financial reality of a struggling office REIT constrains its ability to play for the long term.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Brandywine's purpose of shaping and inspiring communities through real estate development is genuine and validated by 32 years of consistent execution under founder Jerry Sweeney [2]. The $16M+ investment in Schuylkill Yards community development demonstrates that the mission extends beyond profit. However, the cause hasn't been tested by the ultimate question — whether the company can survive the structural office demand shift.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Brandywine employs just 268 people but has maintained stable leadership under Jerry Sweeney since 1994 and Jerry Sweeney Jr. in the next generation [2]. The company's culture is described as 'empowering, respectful, and collaborative,' and its ISS Governance Quality Score of 1 (highest possible) suggests strong organizational governance [3]. Small team size makes the company less susceptible to cultural dysfunction but also limits evidence of broad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Brandywine explicitly acknowledging competitors' strengths or using rivalry as a learning mechanism [2]. The company focuses on its differentiated markets (Philadelphia, Austin) and mixed-use development approach without public discussion of how peers like Boston Properties or Vornado Realty push it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Brandywine has evolved from a pure office REIT to include mixed-use, residential, retail, and life science components, with the Schuylkill Yards development representing a significant strategic shift toward placemaking rather than traditional office leasing [2]. The planned $280-300M of asset sales in 2026 at 8% cap rates shows willingness to reshape the portfolio. This is meaningful adaptation, though the core business remains office-centric.</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to invest in Schuylkill Yards and community development during a severe office downturn shows commitment to long-term placemaking [3]. However, the serial dividend cuts (from $0.76 to $0.53) and negative earnings suggest the company is managing for survival rather than making bold long-term bets. The decision to maintain any dividend at all while losing money could be seen as financially imprudent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Brandywine trades at an extreme discount to book value (P/B 0.58x) with a 15.2% dividend yield and occupancy improving for the first time in several years — 88.3% occupied with 120bps expected improvement in 2026 and first positive net absorption anticipated [1]. The Schuylkill Yards mixed-use development in West Philadelphia represents a transformative long-term asset, and planned asset sales of $280-300M at 8% cap rates could deleverage the balance sheet [1]. Founder-CEO Jerry Sweeney's 32-year tenure provides continuity, and the company's ISS Governance Quality Score of 1 and ESG leadership suggest institutional quality [3].</w:t>
      </w:r>
    </w:p>
    <w:p>
      <w:pPr>
        <w:spacing w:after="120"/>
      </w:pPr>
      <w:r>
        <w:rPr>
          <w:rFonts w:ascii="Calibri" w:hAnsi="Calibri"/>
          <w:b w:val="0"/>
          <w:color w:val="3A4A28"/>
          <w:sz w:val="20"/>
        </w:rPr>
        <w:t>The bear case is overwhelming. D/E of 324% is above the 300% floor, ROE is -19.4%, profit margin is -41.4%, and the forward P/E is deeply negative (-132x) [4]. The dividend has been cut three times since 2022 (from $0.76 to $0.53) with a 543% payout ratio that guarantees further cuts — the 15.2% yield is a distressed signal, not an income opportunity [4]. Office real estate faces a structural secular decline from remote and hybrid work adoption, which AI-driven productivity tools may accelerate further. Short interest has grown significantly, reflecting market conviction that the stock is overvalued even at $2.64 [1]. The $460M market cap against significant debt obligations creates real bankruptcy risk if the office market does not recover. Philadelphia and Austin office markets have their own localized challenges including oversupply and population dynamics.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positive net absorption in several years with 120bps occupancy improvement projected for 2026, signaling potential office market stabilization [1]</w:t>
      </w:r>
    </w:p>
    <w:p>
      <w:pPr>
        <w:spacing w:before="40" w:after="40"/>
        <w:ind w:left="283"/>
      </w:pPr>
      <w:r>
        <w:rPr>
          <w:rFonts w:ascii="Calibri" w:hAnsi="Calibri"/>
          <w:b/>
          <w:color w:val="4A6B25"/>
          <w:sz w:val="20"/>
        </w:rPr>
        <w:t xml:space="preserve">2. </w:t>
      </w:r>
      <w:r>
        <w:rPr>
          <w:rFonts w:ascii="Calibri" w:hAnsi="Calibri"/>
          <w:b w:val="0"/>
          <w:color w:val="3A4A28"/>
          <w:sz w:val="20"/>
        </w:rPr>
        <w:t>Planned $280-300M asset sales at 8% cap rates in H1 2026 to deleverage the balance sheet and reduce interest expense [1]</w:t>
      </w:r>
    </w:p>
    <w:p>
      <w:pPr>
        <w:spacing w:before="40" w:after="40"/>
        <w:ind w:left="283"/>
      </w:pPr>
      <w:r>
        <w:rPr>
          <w:rFonts w:ascii="Calibri" w:hAnsi="Calibri"/>
          <w:b/>
          <w:color w:val="4A6B25"/>
          <w:sz w:val="20"/>
        </w:rPr>
        <w:t xml:space="preserve">3. </w:t>
      </w:r>
      <w:r>
        <w:rPr>
          <w:rFonts w:ascii="Calibri" w:hAnsi="Calibri"/>
          <w:b w:val="0"/>
          <w:color w:val="3A4A28"/>
          <w:sz w:val="20"/>
        </w:rPr>
        <w:t>Schuylkill Yards mixed-use development creating long-term value through community placemaking in a transit-oriented Philadelphia 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secular decline in office demand from remote/hybrid work — AI productivity tools may further reduce the need for physical office space [1]</w:t>
      </w:r>
    </w:p>
    <w:p>
      <w:pPr>
        <w:spacing w:before="40" w:after="40"/>
        <w:ind w:left="283"/>
      </w:pPr>
      <w:r>
        <w:rPr>
          <w:rFonts w:ascii="Calibri" w:hAnsi="Calibri"/>
          <w:b/>
          <w:color w:val="4A6B25"/>
          <w:sz w:val="20"/>
        </w:rPr>
        <w:t xml:space="preserve">2. </w:t>
      </w:r>
      <w:r>
        <w:rPr>
          <w:rFonts w:ascii="Calibri" w:hAnsi="Calibri"/>
          <w:b w:val="0"/>
          <w:color w:val="3A4A28"/>
          <w:sz w:val="20"/>
        </w:rPr>
        <w:t>Unsustainable dividend — 543% payout ratio with three cuts since 2022 signals inevitable further reductions that would remove yield-based investor support [4]</w:t>
      </w:r>
    </w:p>
    <w:p>
      <w:pPr>
        <w:spacing w:before="40" w:after="40"/>
        <w:ind w:left="283"/>
      </w:pPr>
      <w:r>
        <w:rPr>
          <w:rFonts w:ascii="Calibri" w:hAnsi="Calibri"/>
          <w:b/>
          <w:color w:val="4A6B25"/>
          <w:sz w:val="20"/>
        </w:rPr>
        <w:t xml:space="preserve">3. </w:t>
      </w:r>
      <w:r>
        <w:rPr>
          <w:rFonts w:ascii="Calibri" w:hAnsi="Calibri"/>
          <w:b w:val="0"/>
          <w:color w:val="3A4A28"/>
          <w:sz w:val="20"/>
        </w:rPr>
        <w:t>Leverage risk — D/E of 324% with negative earnings creates real refinancing and bankruptcy risk if the office market does not recover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office real estate is fundamentally immune to AI substitution — buildings cannot be replaced by software, and the core business of owning, leasing, and managing physical space is inherently physical-world [1]. If anything, AI growth drives demand for office space as technology companies expand (though remote work remains the dominant structural threat, which is a separate secular issue). Brandywine's focus on transit-oriented, mixed-use properties positions it for resilience as tenants seek collaboration-focused spaces. No analyst has identified AI as a disruption risk for office REITs. AI Opportunity (0/1): Brandywine generates no revenue from AI products or services; its technology investments focus on tenant experience platforms (BEX) and building management systems rather than AI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Brandywine Realty Trust Q4 2025 / FY2025 Results — 88.3% occupancy, 2026 guidance, $280-300M planned sales, February 3, 2026</w:t>
      </w:r>
    </w:p>
    <w:p>
      <w:pPr>
        <w:spacing w:before="20" w:after="20"/>
        <w:ind w:left="170"/>
      </w:pPr>
      <w:r>
        <w:rPr>
          <w:rFonts w:ascii="Calibri" w:hAnsi="Calibri"/>
          <w:b/>
          <w:color w:val="4A6B25"/>
          <w:sz w:val="15"/>
        </w:rPr>
        <w:t xml:space="preserve">2. </w:t>
      </w:r>
      <w:r>
        <w:rPr>
          <w:rFonts w:ascii="Calibri" w:hAnsi="Calibri"/>
          <w:b w:val="0"/>
          <w:color w:val="3A4A28"/>
          <w:sz w:val="17"/>
        </w:rPr>
        <w:t>Brandywine Realty Trust corporate website — leadership, about us, responsibility, BEX co-working</w:t>
      </w:r>
    </w:p>
    <w:p>
      <w:pPr>
        <w:spacing w:before="20" w:after="20"/>
        <w:ind w:left="170"/>
      </w:pPr>
      <w:r>
        <w:rPr>
          <w:rFonts w:ascii="Calibri" w:hAnsi="Calibri"/>
          <w:b/>
          <w:color w:val="4A6B25"/>
          <w:sz w:val="15"/>
        </w:rPr>
        <w:t xml:space="preserve">3. </w:t>
      </w:r>
      <w:r>
        <w:rPr>
          <w:rFonts w:ascii="Calibri" w:hAnsi="Calibri"/>
          <w:b w:val="0"/>
          <w:color w:val="3A4A28"/>
          <w:sz w:val="17"/>
        </w:rPr>
        <w:t>Brandywine CSR Report 2025 — ISS Governance Score 1, MSCI A rating, $16M+ community investment, Schuylkill Yards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BDN,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