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BEAM</w:t>
      </w:r>
      <w:r>
        <w:rPr>
          <w:rFonts w:ascii="Calibri" w:hAnsi="Calibri"/>
          <w:b/>
          <w:color w:val="1A2010"/>
          <w:sz w:val="40"/>
        </w:rPr>
        <w:t xml:space="preserve">  Beam Therapeutics Inc.</w:t>
      </w:r>
    </w:p>
    <w:p>
      <w:pPr>
        <w:spacing w:after="120"/>
      </w:pPr>
      <w:r>
        <w:rPr>
          <w:rFonts w:ascii="Calibri" w:hAnsi="Calibri"/>
          <w:b/>
          <w:color w:val="6E8450"/>
          <w:sz w:val="18"/>
        </w:rPr>
        <w:t>GROWTH SLEEVE · 2026-04-21 · Inspire: 33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Beam Therapeutics is a biotechnology company developing precision genetic medicines using its proprietary base editing technology. Its pipeline targets hematology and genetic diseases including sickle cell disease (Ristoglogene autogetemcel), alpha-1 antitrypsin deficiency (BEAM-302), phenylketonuria (BEAM-304), and glycogen storage disease (BEAM-301). The company has research collaborations with Pfizer, Verve Therapeutics, and Orbital Therapeutics.</w:t>
      </w:r>
    </w:p>
    <w:p>
      <w:r>
        <w:rPr>
          <w:rFonts w:ascii="Calibri" w:hAnsi="Calibri"/>
          <w:b/>
          <w:color w:val="6E8450"/>
          <w:sz w:val="18"/>
        </w:rPr>
        <w:t>511 Employees · https://beamtx.com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Beam has advanced its base editing platform from preclinical concept to multiple clinical-stage programs in under 7 years, with Ristoglogene autogetemcel (risto-cel) in clinical trials for sickle cell disease and BEAM-302 advancing for alpha-1 antitrypsin deficiency [1][2]. The Pfizer collaboration generated $377.7M in milestone revenue in FY2023, validating the technology platform. AI Deployment (1/2): Beam leverages computational biology and machine learning to design guide RNAs and optimize base editors for precision, though this is enabling technology rather than a standalone AI product [2]. Market Share (2/2): Beam is the undisputed leader in base editing therapeutics, a technology it co-invented, holding foundational IP that differentiates it from CRISPR-Cas9 competitors like Intellia and CRISPR Therapeutics [2]. Pipeline (1/2): BEAM-304 IND filing anticipated in 2026 for PKU, risto-cel in clinical development, and the ESCAPE platform combining antibody conditioning with multiplex gene editing, but timelines remain uncertain for late-stage readouts [1]. R&amp;D Intensity (1/1): R&amp;D spending dominates the P&amp;L as expected for a clinical-stage biotech, with operating expenses heavily weighted toward pipeline advancement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Beam's mission to 'create a new class of precision genetic medicines with the potential to provide lifelong cures' is specific, patient-centered, and distinctive from generic pharma language — it connects the company's proprietary technology to a genuine vision of transforming genetic disease treatment [2]. Community Impact (1/2): Beam's work on sickle cell disease disproportionately benefits underserved populations, and the company participates in the broader rare disease community, though no specific charitable programs or dollar commitments were identified [2]. Employee Retention (0/2): No specific retention data available; Glassdoor rating of 4.0/5 for work-life balance and 4.2/5 for culture/values from 511 employees, but some reviews flag management challenges [3]. Insider Buying (1/2): CEO John Evans holds 0.92% of shares worth $25.4M, demonstrating significant personal stake, though no data on recent net insider buying was identified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Beam's infrastructure reflects a clinical-stage biotech profile with $1.25B in cash against only $154M in debt (D/E 12.4%), providing a multi-year cash runway to fund pipeline development [1][5]. Revenue of $139.7M in FY2025 was driven by collaboration milestones and is inherently lumpy — FY2023 revenue was $377.7M due to Pfizer milestones, while FY2024 dropped to $63.5M [5]. Negative profit margin (-57.2%) and negative ROE (-8.1%) are typical for pre-commercial biotech and excluded from scoring. Forward P/E is negative and excluded. The 3-year revenue CAGR of 31.9% scores well, and extremely low D/E of 12.4% is a strength. Liquidity floor cleared: 1.94M avg volume x $31.19 = $60.6M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Beam demonstrates genuine infinite game thinking in its commitment to a transformative technology platform — base editing — that it invented and has spent nearly a decade developing before seeing commercial revenue. CEO John Evans' 9-year tenure and willingness to invest through cash-burning years reflects long-term conviction, though the company is still too young to have been tested through multiple market cycles.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Beam's cause — providing lifelong cures for serious genetic diseases through precision base editing — is genuinely distinctive and service-oriented [2]. The company was founded specifically to commercialize base editing technology invented by co-founder David Liu, and every strategic decision traces back to advancing this platform. However, the cause has not yet been validated through decades of execution or survived major crises, limiting it to 2 points on the 3-point scale.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show a 4.2/5 culture rating with 69% recommending Beam as a workplace, suggesting adequate trust for a 511-person biotech [3]. CEO John Evans has led the company since 2017 (9 years), providing leadership continuity. However, some Glassdoor reviews flag management organizational challenges, and the company has not demonstrated exceptional trust-building practices beyond industry norms.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Beam acknowledges CRISPR Therapeutics, Intellia, and Verve Therapeutics as competitors whose strengths in different gene editing approaches push Beam to refine its base editing advantage [2]. The Verve collaboration on cardiovascular targets and Pfizer partnership demonstrate willingness to collaborate rather than pursue a zero-sum competitive strategy.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Beam has shown incremental flexibility by expanding from its initial hematology focus into liver-targeted genetic diseases (BEAM-302, BEAM-304) and developing the ESCAPE platform combining antibody conditioning with multiplex gene editing [1]. These represent meaningful extensions of the core technology into adjacent therapeutic areas, though not a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Beam has demonstrated courage by continuing to invest heavily in R&amp;D ($220M+ annual cash burn) through a challenging biotech funding environment, maintaining its commitment to the base editing platform rather than pivoting to faster-to-market approaches [1]. The decision to build a proprietary manufacturing capability rather than outsource shows long-term thinking over short-term capital efficiency.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Beam Therapeutics is the pioneer and leader in base editing, a next-generation gene editing technology that enables precise single-nucleotide changes without double-strand DNA breaks [2]. The company's $1.25B cash position provides approximately 5+ years of runway at current burn rates (~$220M/year), funding a diversified pipeline spanning sickle cell disease (risto-cel), alpha-1 antitrypsin deficiency (BEAM-302), PKU (BEAM-304), and the novel ESCAPE platform [1]. Q4 2025 EPS of -$0.10 beat estimates by 91%, and the Pfizer collaboration validates the platform's commercial potential with $377.7M in prior milestone payments [1]. At a $3.2B market cap with $1.25B cash, the implied enterprise value of ~$1.95B represents a reasonable entry for a clinical-stage platform with multiple shots on goal.</w:t>
      </w:r>
    </w:p>
    <w:p>
      <w:pPr>
        <w:spacing w:after="120"/>
      </w:pPr>
      <w:r>
        <w:rPr>
          <w:rFonts w:ascii="Calibri" w:hAnsi="Calibri"/>
          <w:b w:val="0"/>
          <w:color w:val="3A4A28"/>
          <w:sz w:val="20"/>
        </w:rPr>
        <w:t>The bear case centers on clinical and regulatory execution risk inherent to any pre-commercial biotech. Base editing, while theoretically superior to CRISPR-Cas9 for certain applications, has not yet produced an approved therapy — risto-cel clinical timelines remain uncertain and the path to BLA filing could extend beyond 2028 [1]. Revenue is entirely milestone-dependent and lumpy (ranging from $63.5M in FY2024 to $377.7M in FY2023), making financial forecasting unreliable. The $220M annual cash burn means dilution risk is real if capital markets tighten. Competition from CRISPR Therapeutics (which already has an approved product in Casgevy) and Intellia's in vivo approaches could erode Beam's first-mover narrative. With negative earnings and no near-term path to profitability, the stock is a binary bet on clinical success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BEAM-304 IND filing anticipated in 2026 for phenylketonuria, expanding the liver-targeted genetic disease portfolio into a larger patient population [1]</w:t>
      </w:r>
    </w:p>
    <w:p>
      <w:pPr>
        <w:spacing w:before="40" w:after="40"/>
        <w:ind w:left="283"/>
      </w:pPr>
      <w:r>
        <w:rPr>
          <w:rFonts w:ascii="Calibri" w:hAnsi="Calibri"/>
          <w:b/>
          <w:color w:val="4A6B25"/>
          <w:sz w:val="20"/>
        </w:rPr>
        <w:t xml:space="preserve">2. </w:t>
      </w:r>
      <w:r>
        <w:rPr>
          <w:rFonts w:ascii="Calibri" w:hAnsi="Calibri"/>
          <w:b w:val="0"/>
          <w:color w:val="3A4A28"/>
          <w:sz w:val="20"/>
        </w:rPr>
        <w:t>Risto-cel clinical data readouts for sickle cell disease, with potential to demonstrate base editing's first proof of clinical efficacy in a registrational setting [2]</w:t>
      </w:r>
    </w:p>
    <w:p>
      <w:pPr>
        <w:spacing w:before="40" w:after="40"/>
        <w:ind w:left="283"/>
      </w:pPr>
      <w:r>
        <w:rPr>
          <w:rFonts w:ascii="Calibri" w:hAnsi="Calibri"/>
          <w:b/>
          <w:color w:val="4A6B25"/>
          <w:sz w:val="20"/>
        </w:rPr>
        <w:t xml:space="preserve">3. </w:t>
      </w:r>
      <w:r>
        <w:rPr>
          <w:rFonts w:ascii="Calibri" w:hAnsi="Calibri"/>
          <w:b w:val="0"/>
          <w:color w:val="3A4A28"/>
          <w:sz w:val="20"/>
        </w:rPr>
        <w:t>ESCAPE platform development combining antibody conditioning with multiplex gene editing, which could unlock broader hematopoietic stem cell therapy applications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Clinical trial failure or safety signal in any lead program could crater the platform thesis — base editing has not yet produced an FDA-approved therapy [2]</w:t>
      </w:r>
    </w:p>
    <w:p>
      <w:pPr>
        <w:spacing w:before="40" w:after="40"/>
        <w:ind w:left="283"/>
      </w:pPr>
      <w:r>
        <w:rPr>
          <w:rFonts w:ascii="Calibri" w:hAnsi="Calibri"/>
          <w:b/>
          <w:color w:val="4A6B25"/>
          <w:sz w:val="20"/>
        </w:rPr>
        <w:t xml:space="preserve">2. </w:t>
      </w:r>
      <w:r>
        <w:rPr>
          <w:rFonts w:ascii="Calibri" w:hAnsi="Calibri"/>
          <w:b w:val="0"/>
          <w:color w:val="3A4A28"/>
          <w:sz w:val="20"/>
        </w:rPr>
        <w:t>Cash runway of ~5 years at current burn rates creates dilution risk if capital markets tighten or timelines slip, with no near-term revenue visibility beyond lumpy milestones [1][5]</w:t>
      </w:r>
    </w:p>
    <w:p>
      <w:pPr>
        <w:spacing w:before="40" w:after="40"/>
        <w:ind w:left="283"/>
      </w:pPr>
      <w:r>
        <w:rPr>
          <w:rFonts w:ascii="Calibri" w:hAnsi="Calibri"/>
          <w:b/>
          <w:color w:val="4A6B25"/>
          <w:sz w:val="20"/>
        </w:rPr>
        <w:t xml:space="preserve">3. </w:t>
      </w:r>
      <w:r>
        <w:rPr>
          <w:rFonts w:ascii="Calibri" w:hAnsi="Calibri"/>
          <w:b w:val="0"/>
          <w:color w:val="3A4A28"/>
          <w:sz w:val="20"/>
        </w:rPr>
        <w:t>Competitive pressure from CRISPR Therapeutics' approved Casgevy and Intellia's advancing in vivo programs could reduce Beam's perceived differentiation and partnership value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Beam's core business — developing genetic medicines through base editing — requires deep wet-lab biology, clinical trials, regulatory navigation, and manufacturing of cell and gene therapies that AI cannot substitute [2]. The physical-world nature of drug development (patient enrollment, FDA oversight, GMP manufacturing) creates meaningful protection. However, AI is accelerating drug discovery timelines across biotech, and competitors leveraging AI-driven drug design could compress Beam's development advantage. AI Opportunity (1/1): Beam actively uses computational biology and machine learning for guide RNA design, base editor optimization, and target identification, generating measurable R&amp;D efficiency gains that directly support pipeline advancement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Beam Therapeutics Q4/FY2025 Earnings Release — EPS of -$0.10 beating estimates, February 24, 2026</w:t>
      </w:r>
    </w:p>
    <w:p>
      <w:pPr>
        <w:spacing w:before="20" w:after="20"/>
        <w:ind w:left="170"/>
      </w:pPr>
      <w:r>
        <w:rPr>
          <w:rFonts w:ascii="Calibri" w:hAnsi="Calibri"/>
          <w:b/>
          <w:color w:val="4A6B25"/>
          <w:sz w:val="15"/>
        </w:rPr>
        <w:t xml:space="preserve">2. </w:t>
      </w:r>
      <w:r>
        <w:rPr>
          <w:rFonts w:ascii="Calibri" w:hAnsi="Calibri"/>
          <w:b w:val="0"/>
          <w:color w:val="3A4A28"/>
          <w:sz w:val="17"/>
        </w:rPr>
        <w:t>Beam Therapeutics corporate website and pipeline overview — base editing platform and clinical programs,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Glassdoor reviews and Simply Wall St management analysis for Beam Therapeutics,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Sustainalytics ESG Risk Rating for Beam Therapeutics,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BEAM, retrieved April 21,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