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BEN</w:t>
      </w:r>
      <w:r>
        <w:rPr>
          <w:rFonts w:ascii="Calibri" w:hAnsi="Calibri"/>
          <w:b/>
          <w:color w:val="1A2010"/>
          <w:sz w:val="40"/>
        </w:rPr>
        <w:t xml:space="preserve">  Franklin Resources, Inc.</w:t>
      </w:r>
    </w:p>
    <w:p>
      <w:pPr>
        <w:spacing w:after="120"/>
      </w:pPr>
      <w:r>
        <w:rPr>
          <w:rFonts w:ascii="Calibri" w:hAnsi="Calibri"/>
          <w:b/>
          <w:color w:val="6E8450"/>
          <w:sz w:val="18"/>
        </w:rPr>
        <w:t>DIVIDEND SLEEVE · 2026-03-31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Franklin Resources, operating as Franklin Templeton, is a global investment management firm with $1.68 trillion in assets under management. The company offers mutual funds, ETFs, separately managed accounts, and alternative investments across equity, fixed income, multi-asset, and alternative strategies through subsidiaries including ClearBridge, Western Asset, Brandywine, and Legg Mason.</w:t>
      </w:r>
    </w:p>
    <w:p>
      <w:r>
        <w:rPr>
          <w:rFonts w:ascii="Calibri" w:hAnsi="Calibri"/>
          <w:b/>
          <w:color w:val="6E8450"/>
          <w:sz w:val="18"/>
        </w:rPr>
        <w:t>9,500 Employees · https://www.franklintempleton.com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Q1 FY2026 adjusted EPS of $0.70 beat consensus of $0.55 by 27%, and revenue of $2.37B exceeded the $1.71B estimate by 39% [1]. AUM reached a record $1.68T with record long-term inflows of $118.6B (up 40% QoQ). However, FY2025 adjusted EPS of $2.22 declined from $2.39 in FY2024, showing inconsistency. AI Deployment (1/2): Franklin Templeton has launched an AI-driven distribution platform and CEO Jenny Johnson actively evaluates AI's impact on portfolio companies, but the firm's core investment process remains human-driven [2]. Market Share (1/2): Franklin Templeton is a top-10 global asset manager by AUM but has lost relative market share to passive/index providers like Vanguard and BlackRock over the past decade. Pipeline (1/2): The wealth channel targets 15-20% fundraising growth in 2026, and 7 perpetual funds near $5B in fundraising show private markets traction [1]. R&amp;D Intensity (0/1): As a financial services firm, R&amp;D investment is minimal; innovation comes through acquisitions (Legg Mason, Putnam) rather than organic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Franklin Templeton's mission centers on helping clients achieve better outcomes through investment management, but this is generic across the asset management industry and lacks distinctive purpose. Jenny Johnson articulates people-passion-purpose-persistence leadership principles but culture integration across many acquisitions remains uneven [2]. Community Impact (1/2): The firm supports financial literacy initiatives and community engagement, but its primary societal contribution is capital allocation efficiency. Employee Retention (1/2): Glassdoor rating of 3.8/5 with 79% recommendation rate is respectable; employees praise benefits, collaborative culture, and career development but criticize below-market compensation, frequent layoffs after acquisitions, and internal mobility barriers [2]. Insider Buying (1/2): The Johnson family maintains significant ownership stake, aligning interests with shareholders, but multiple acquisition-driven restructurings have diluted employee morale.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Franklin Resources trades at a forward P/E of 8.1x, deeply discounted to peers, reflecting market skepticism about active management's future [3]. D/E of 24.6% is conservative for a financial services firm. ROE of 4.5% is poor, indicating weak capital efficiency despite the $1.68T AUM base. Profit margin of 7.0% lags peers significantly — operating margins in the mid-20s trail competitors in the 30s+, with management targeting 30%+ by FY2027 [1]. Q1 FY2026 net income of $255.5M was strong, more than doubling QoQ. Revenue growth of 3.4% YoY is modest for a company in recovery mode. The dividend yield of approximately 5.5% with 44 consecutive years of increases provides income stability, though the payout ratio relative to earnings requires monitoring given thin margins. Liquidity floor easily cleared: 5.6M avg vol x $23.62 = $131M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Franklin Templeton demonstrates mixed infinite game attributes — the Johnson family's multi-generational stewardship and 44-year dividend growth streak reflect long-term thinking, but aggressive acquisition-driven growth (Legg Mason, Putnam) with subsequent layoffs and culture clashes suggests a finite-game pursuit of AUM scale over organic capability building.</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Franklin Templeton's stated purpose of helping clients achieve better investment outcomes is genuine but undifferentiated. The firm's 75+ year history and Johnson family leadership provide continuity, and Jenny Johnson's people-passion-purpose framework articulates values beyond pure profit [2]. However, the rapid acquisition pace suggests scale-chasing rather than mission-driven growth.</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(3.8/5, 79% recommendation) indicate reasonable employee satisfaction but reveal trust fractures from acquisition integration. Employees praise collaborative culture and benefits but criticize C-suite bonuses followed by layoffs, subpar compensation versus peers, and poor internal mobility [2]. The multi-brand subsidiary model creates fiefdoms that impede cross-firm collaboration.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Franklin Templeton openly acknowledges the existential threat from passive investing and AI, with Jenny Johnson publicly discussing how AI could undermine traditional enterprise models [2]. The firm's strategic response — expanding into private markets, launching AI distribution tools, and building perpetual funds — shows it studies rivals like BlackRock and uses competitive pressure to evolve rather than dismiss it.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transformation from a traditional mutual fund company to a $1.68T diversified asset manager through acquisitions (Legg Mason $4.5B, Putnam) and expansion into private markets, ETFs, and alternative strategies demonstrates strategic flexibility [1]. However, the integration challenges and margin dilution from acquisitions suggest the pivots are creating complexity rather than clean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Jenny Johnson shows intellectual courage by publicly warning about AI disruption risks and discussing defense sector ESG reconsideration, but operational courage is questionable — the firm removed weapons exclusions from ESG funds under commercial pressure, and recurring layoffs post-acquisition undermine leadership credibility with employees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Franklin Templeton delivered a strong Q1 FY2026 with adjusted EPS of $0.70 (27% beat), record AUM of $1.68T, and record long-term inflows of $118.6B representing 40% QoQ growth [1]. At 8.1x forward P/E with a 5.5% dividend yield backed by 44 consecutive years of increases, the stock offers deep value if the firm can execute its margin expansion plan to 30%+ operating margins by FY2027. The wealth channel targets 15-20% fundraising growth, and 7 perpetual private market funds approaching $5B in fundraising diversify beyond traditional mutual funds [1]. CEO Jenny Johnson's candid engagement with AI disruption risks suggests strategic awareness, and the AI-driven distribution platform positions the firm to modernize client acquisition [2].</w:t>
      </w:r>
    </w:p>
    <w:p>
      <w:pPr>
        <w:spacing w:after="120"/>
      </w:pPr>
      <w:r>
        <w:rPr>
          <w:rFonts w:ascii="Calibri" w:hAnsi="Calibri"/>
          <w:b w:val="0"/>
          <w:color w:val="3A4A28"/>
          <w:sz w:val="20"/>
        </w:rPr>
        <w:t>The bear case centers on structural headwinds facing active asset management. Profit margin of 7.0% and ROE of 4.5% are well below peers, reflecting margin dilution from the Legg Mason and Putnam acquisitions that have yet to deliver promised synergies [1]. Operating margins in the mid-20s versus peer 30%+ levels indicate significant integration work remains. The secular shift from active to passive investing continues to pressure traditional mutual fund AUM and fees. AI-driven disruption could accelerate fee compression as algorithmic and AI-enhanced strategies deliver comparable performance at lower cost. The dividend payout ratio appears stretched relative to GAAP earnings, and Western Asset (a key subsidiary) has faced outflow challenges. At $23.62, the stock trades near 52-week lows, reflecting market skepticism about whether scale acquisitions can overcome the active management industry's structural decline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$118.6B long-term inflows in Q1 FY2026 with AUM reaching $1.68T, showing organic growth momentum beyond acquisitions [1]</w:t>
      </w:r>
    </w:p>
    <w:p>
      <w:pPr>
        <w:spacing w:before="40" w:after="40"/>
        <w:ind w:left="283"/>
      </w:pPr>
      <w:r>
        <w:rPr>
          <w:rFonts w:ascii="Calibri" w:hAnsi="Calibri"/>
          <w:b/>
          <w:color w:val="4A6B25"/>
          <w:sz w:val="20"/>
        </w:rPr>
        <w:t xml:space="preserve">2. </w:t>
      </w:r>
      <w:r>
        <w:rPr>
          <w:rFonts w:ascii="Calibri" w:hAnsi="Calibri"/>
          <w:b w:val="0"/>
          <w:color w:val="3A4A28"/>
          <w:sz w:val="20"/>
        </w:rPr>
        <w:t>Margin expansion roadmap targeting 30%+ operating margins by FY2027, which would significantly improve profitability from current mid-20s levels [1]</w:t>
      </w:r>
    </w:p>
    <w:p>
      <w:pPr>
        <w:spacing w:before="40" w:after="40"/>
        <w:ind w:left="283"/>
      </w:pPr>
      <w:r>
        <w:rPr>
          <w:rFonts w:ascii="Calibri" w:hAnsi="Calibri"/>
          <w:b/>
          <w:color w:val="4A6B25"/>
          <w:sz w:val="20"/>
        </w:rPr>
        <w:t xml:space="preserve">3. </w:t>
      </w:r>
      <w:r>
        <w:rPr>
          <w:rFonts w:ascii="Calibri" w:hAnsi="Calibri"/>
          <w:b w:val="0"/>
          <w:color w:val="3A4A28"/>
          <w:sz w:val="20"/>
        </w:rPr>
        <w:t>Private markets and perpetual fund expansion with 7 funds near $5B in fundraising and 50% QoQ fundraising growth, diversifying beyond traditional fee-compressed products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shift from active to passive investing continues eroding traditional mutual fund AUM and fee rates, with AI potentially accelerating this trend [2]</w:t>
      </w:r>
    </w:p>
    <w:p>
      <w:pPr>
        <w:spacing w:before="40" w:after="40"/>
        <w:ind w:left="283"/>
      </w:pPr>
      <w:r>
        <w:rPr>
          <w:rFonts w:ascii="Calibri" w:hAnsi="Calibri"/>
          <w:b/>
          <w:color w:val="4A6B25"/>
          <w:sz w:val="20"/>
        </w:rPr>
        <w:t xml:space="preserve">2. </w:t>
      </w:r>
      <w:r>
        <w:rPr>
          <w:rFonts w:ascii="Calibri" w:hAnsi="Calibri"/>
          <w:b w:val="0"/>
          <w:color w:val="3A4A28"/>
          <w:sz w:val="20"/>
        </w:rPr>
        <w:t>Acquisition integration challenges — Legg Mason and Putnam have diluted margins and created cultural complexity, with operating margins still lagging peers by 500+ bps [1]</w:t>
      </w:r>
    </w:p>
    <w:p>
      <w:pPr>
        <w:spacing w:before="40" w:after="40"/>
        <w:ind w:left="283"/>
      </w:pPr>
      <w:r>
        <w:rPr>
          <w:rFonts w:ascii="Calibri" w:hAnsi="Calibri"/>
          <w:b/>
          <w:color w:val="4A6B25"/>
          <w:sz w:val="20"/>
        </w:rPr>
        <w:t xml:space="preserve">3. </w:t>
      </w:r>
      <w:r>
        <w:rPr>
          <w:rFonts w:ascii="Calibri" w:hAnsi="Calibri"/>
          <w:b w:val="0"/>
          <w:color w:val="3A4A28"/>
          <w:sz w:val="20"/>
        </w:rPr>
        <w:t>Dividend sustainability concerns — 5.5% yield with thin 7% profit margins and elevated payout ratio may pressure the 44-year dividend growth streak if earnings disappoint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Active asset management faces existential AI disruption risk as AI-powered robo-advisors, algorithmic trading, and AI-enhanced index strategies erode the value proposition of human stock picking. CEO Jenny Johnson herself warned that AI coding breakthroughs (citing Anthropic's Claude) raise fundamental questions about software vendor sustainability, suggesting acute awareness of disruption across industries [2]. Franklin Templeton's traditional mutual fund business is particularly vulnerable to AI-driven fee compression and passive investing trends. AI Opportunity (1/1): The firm has launched an AI-driven distribution platform and uses AI for research augmentation. Franklin Templeton's thought leadership on AI investing positions it to capture assets flowing into AI-themed products, and the shift toward private markets (less AI-disruptable) provides some defensive positioning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Franklin Resources Q1 FY2026 Earnings Release — $0.70 adjusted EPS, $1.68T AUM, record inflows, January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CEO Jenny Johnson AI commentary, Seeking Alpha — leadership and AI disruption analysis,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BEN (Franklin Resources),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