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BEPC</w:t>
      </w:r>
      <w:r>
        <w:rPr>
          <w:rFonts w:ascii="Calibri" w:hAnsi="Calibri"/>
          <w:b/>
          <w:color w:val="1A2010"/>
          <w:sz w:val="40"/>
        </w:rPr>
        <w:t xml:space="preserve">  Brookfield Renewable Corporation</w:t>
      </w:r>
    </w:p>
    <w:p>
      <w:pPr>
        <w:spacing w:after="120"/>
      </w:pPr>
      <w:r>
        <w:rPr>
          <w:rFonts w:ascii="Calibri" w:hAnsi="Calibri"/>
          <w:b/>
          <w:color w:val="6E8450"/>
          <w:sz w:val="18"/>
        </w:rPr>
        <w:t>DIVIDEND SLEEVE · 2026-05-03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Brookfield Renewable Corporation owns and operates a diversified global portfolio of renewable power and sustainable solution assets including approximately 13,396 MW of installed hydroelectric, wind, utility-scale solar, distributed generation, pumped storage, carbon capture, cogeneration, biomass, and eFuels capacity across North America, South America, and Europe. It operates as a subsidiary of Brookfield Renewable Partners L.P.</w:t>
      </w:r>
    </w:p>
    <w:p>
      <w:r>
        <w:rPr>
          <w:rFonts w:ascii="Calibri" w:hAnsi="Calibri"/>
          <w:b/>
          <w:color w:val="6E8450"/>
          <w:sz w:val="18"/>
        </w:rPr>
        <w:t>2,411 Employees · https://bep.brookfield.com/bepc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Brookfield Renewable deployed $2.2B into growth in Q1 2026 alone, privatized Boralex to enhance its Canadian renewable platform, and brought online 1.8 GW of new capacity while contracting 1.7 GW of development projects [1]. The expansion from a hydro-focused utility to a 200 GW development pipeline spanning solar, wind, storage, and carbon capture represents genuine strategic evolution. AI Deployment (1/2): Brookfield launched a $100B AI Infrastructure Program with founding partners NVIDIA and the Kuwait Investment Authority, positioning renewable power as the energy backbone for AI data centers [2]. This is infrastructure enablement rather than direct AI product deployment. Market Share (1/2): Brookfield Renewable is one of the world's largest publicly traded renewable power platforms, with 13,396 MW installed capacity and a 200 GW development pipeline, though it competes against NextEra Energy, Enel, and Iberdrola at larger scale [1]. Pipeline (2/2): The 200 GW development pipeline with specific deployment timelines, the Boralex privatization, and the NVIDIA-backed AI Infrastructure Program provide exceptional near-term and long-term visibility [1][2]. R&amp;D Intensity (0/1): As a utility/infrastructure company, BEPC does not engage in traditional R&amp;D; innovation comes through project development and capital deployment rather than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Brookfield Renewable's purpose — accelerating the global transition to a sustainable energy future — is specific, thoughtful, and connects operational activities to a generational cause [4]. Under Connor Teskey's leadership (now CEO of parent Brookfield), the mission shapes capital allocation decisions, with every major investment tied to decarbonization. The cause lacks only multi-decade validation under this specific framework (BEPC was incorporated in 2019). Community Impact (2/2): Brookfield Renewable operates in multiple developing regions (South America, parts of Asia), creates construction and operational jobs in rural areas, and the parent company's charitable activities span global sustainability initiatives. The $2.2B quarterly deployment creates significant economic multiplier effects in renewable energy communities [1]. Employee Retention (1/2): With 2,411 employees and Brookfield's well-regarded culture of 'collaboration, innovation, and discipline' as described by outgoing CEO Bruce Flatt, there is evidence of stable organizational culture, though specific retention data is limited [2]. Insider Buying (0/2): No specific evidence of meaningful net insider buying at the BEPC level; the Brookfield corporate structure means insider ownership flows through the parent entity rather than direct share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BEPC's financial profile reflects the capital-intensive, high-leverage model inherent to renewable energy infrastructure. D/E of 215% is elevated ($15B debt against $3.7B revenue) but typical for infrastructure-heavy utilities financing long-lived assets [5]. ROE is deeply negative (-47.8%) driven by $2.3B net loss in 2025, largely from mark-to-market and impairment charges on the portfolio rather than operational underperformance [1]. Revenue declined 2.6% YoY to $3.73B as asset sales and FX headwinds offset organic growth, though proportionate adjusted EBITDA grew 21% to $756M in Q1 2026, demonstrating the disconnect between GAAP metrics and operational performance [1]. Forward P/E is negative (-24.5x) due to expected losses, reflecting the complex partnership structure and heavy depreciation. Profit margin of -122.4% is GAAP-distorted. The 4.45% dividend yield is attractive but the 108% payout ratio (GAAP) raises sustainability questions, though FFO-based coverage is adequate. BEPC has paid dividends for 5 consecutive years with 5.2% CAGR growth. Liquidity floor cleared: 1.36M avg vol × $35.20 = $48.0M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Renewable exemplifies infinite game thinking — the parent Brookfield organization has operated for over 100 years with a philosophy of building long-lived real assets that compound value across generations. The transition to renewable energy and the $100B AI Infrastructure Program represent cause-driven capital deployment that prioritizes decades-long value creation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 Renewable's just cause — accelerating the global transition to sustainable energy — is transformative and validated by massive capital commitment (3/3 points). This is not a marketing statement; the company's entire $2.2B quarterly deployment, 200 GW pipeline, and NVIDIA partnership are direct expressions of this cause [1][2]. The parent Brookfield organization's 100+ year history of infrastructure investing validates the long-term commitment to building assets that endure across generations.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Bruce Flatt described successor Connor Teskey as embodying Brookfield's 'culture of collaboration, innovation, and discipline' [2]. The leadership team brings decades of energy and infrastructure experience. With 2,411 employees managing a global portfolio, the company maintains operational stability, though the complex parent-subsidiary structure may create decision-making friction.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of infinite competitive mindset (1/1 point). Brookfield Renewable explicitly acknowledges that NextEra Energy, Enel, and traditional utilities have strengths in specific markets, using those rivalries to sharpen its own development capabilities [2]. Teskey frames competition through the lens of capability building — focusing on Brookfield's advantages in capital deployment and asset operations rather than market share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BEPC has evolved from a hydroelectric-focused utility to a diversified renewable platform including solar, wind, distributed generation, carbon capture, and now AI infrastructure power [1]. The pivot to AI data center power supply through the NVIDIA partnership represents a significant strategic evolution. However, the core business model — owning and operating power generation assets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 (2/2 points). Deploying $2.2B in a single quarter into long-dated renewable assets demonstrates conviction in the energy transition even amid market volatility [1]. The privatization of Boralex (paying a premium to secure a strategic asset), the $100B AI Infrastructure commitment with NVIDIA, and maintaining 5%+ annual dividend growth through operational challenges all reflect leadership choosing long-term capability over short-term financial conservatism [2]. Brookfield's willingness to take on $15B in debt to build century-long infrastructure assets is definitional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Renewable is one of the world's premier clean energy platforms, delivering record Q1 2026 FFO of $375M (up 19% YoY) and deploying $2.2B into growth including the Boralex privatization and 1.8 GW of new capacity [1]. The 4.45% dividend yield with 5.2% CAGR growth provides attractive income, while the 200 GW development pipeline and $100B NVIDIA-backed AI Infrastructure Program position BEPC at the intersection of two secular megatrends — decarbonization and AI power demand [2]. Proportionate adjusted EBITDA grew 21% to $756M in Q1 2026, demonstrating operational momentum that GAAP metrics obscure. The Brookfield parentage provides access to institutional-grade capital deployment capabilities and a 100+ year track record of infrastructure value creation. At the current price, investors get exposure to a generational energy transition with built-in inflation protection from long-term power purchase agreements [1].</w:t>
      </w:r>
    </w:p>
    <w:p>
      <w:pPr>
        <w:spacing w:after="120"/>
      </w:pPr>
      <w:r>
        <w:rPr>
          <w:rFonts w:ascii="Calibri" w:hAnsi="Calibri"/>
          <w:b w:val="0"/>
          <w:color w:val="3A4A28"/>
          <w:sz w:val="20"/>
        </w:rPr>
        <w:t>The bear case centers on the capital-intensive, highly leveraged business model. D/E of 215% with $15B in total debt creates significant interest rate sensitivity — rising rates directly increase financing costs for long-dated infrastructure assets [5]. GAAP financials are deeply negative (net loss of $2.3B in 2025, -122% profit margin) due to the complex partnership structure, depreciation, and mark-to-market charges, making fundamental valuation nearly impossible from traditional metrics [3]. The GAAP payout ratio exceeds 100%, meaning dividends rely on FFO rather than earnings — if FFO growth stalls, the dividend could be at risk. Revenue declined from $4.14B (2024) to $3.73B (2025), suggesting asset recycling and FX headwinds can offset organic growth. Environmental groups have accused Brookfield of 'greenwashing' — particularly regarding Maine hydroelectric dams threatening endangered Atlantic salmon and continued fossil fuel investments through affiliate Oaktree — which could create ESG reputation risk for a company marketed on sustainability [3]. The complex parent-subsidiary structure (BEPC is a subsidiary of BEP, which is managed by Brookfield Asset Management) creates governance opacity and potential conflicts of interest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$100B AI Infrastructure Program with NVIDIA and Kuwait Investment Authority as founding partners, positioning BEPC's renewable assets as primary power supply for AI data center buildout [2]</w:t>
      </w:r>
    </w:p>
    <w:p>
      <w:pPr>
        <w:spacing w:before="40" w:after="40"/>
        <w:ind w:left="283"/>
      </w:pPr>
      <w:r>
        <w:rPr>
          <w:rFonts w:ascii="Calibri" w:hAnsi="Calibri"/>
          <w:b/>
          <w:color w:val="4A6B25"/>
          <w:sz w:val="20"/>
        </w:rPr>
        <w:t xml:space="preserve">2. </w:t>
      </w:r>
      <w:r>
        <w:rPr>
          <w:rFonts w:ascii="Calibri" w:hAnsi="Calibri"/>
          <w:b w:val="0"/>
          <w:color w:val="3A4A28"/>
          <w:sz w:val="20"/>
        </w:rPr>
        <w:t>200 GW development pipeline with 1.8 GW brought online and 1.7 GW contracted in Q1 2026 alone, providing multi-year growth visibility [1]</w:t>
      </w:r>
    </w:p>
    <w:p>
      <w:pPr>
        <w:spacing w:before="40" w:after="40"/>
        <w:ind w:left="283"/>
      </w:pPr>
      <w:r>
        <w:rPr>
          <w:rFonts w:ascii="Calibri" w:hAnsi="Calibri"/>
          <w:b/>
          <w:color w:val="4A6B25"/>
          <w:sz w:val="20"/>
        </w:rPr>
        <w:t xml:space="preserve">3. </w:t>
      </w:r>
      <w:r>
        <w:rPr>
          <w:rFonts w:ascii="Calibri" w:hAnsi="Calibri"/>
          <w:b w:val="0"/>
          <w:color w:val="3A4A28"/>
          <w:sz w:val="20"/>
        </w:rPr>
        <w:t>Record FFO growth of 19% YoY to $375M in Q1 2026 with management targeting 10%+ annual FFO growth and 5-8% annual distribution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$15B debt at 215% D/E creates outsized exposure to rising rates, which directly compress returns on long-dated infrastructure assets [5]</w:t>
      </w:r>
    </w:p>
    <w:p>
      <w:pPr>
        <w:spacing w:before="40" w:after="40"/>
        <w:ind w:left="283"/>
      </w:pPr>
      <w:r>
        <w:rPr>
          <w:rFonts w:ascii="Calibri" w:hAnsi="Calibri"/>
          <w:b/>
          <w:color w:val="4A6B25"/>
          <w:sz w:val="20"/>
        </w:rPr>
        <w:t xml:space="preserve">2. </w:t>
      </w:r>
      <w:r>
        <w:rPr>
          <w:rFonts w:ascii="Calibri" w:hAnsi="Calibri"/>
          <w:b w:val="0"/>
          <w:color w:val="3A4A28"/>
          <w:sz w:val="20"/>
        </w:rPr>
        <w:t>Greenwashing accusations — environmental groups have criticized Brookfield's Maine hydroelectric dams (threatening endangered salmon) and affiliate Oaktree's fossil fuel investments, creating reputational and regulatory risk [3]</w:t>
      </w:r>
    </w:p>
    <w:p>
      <w:pPr>
        <w:spacing w:before="40" w:after="40"/>
        <w:ind w:left="283"/>
      </w:pPr>
      <w:r>
        <w:rPr>
          <w:rFonts w:ascii="Calibri" w:hAnsi="Calibri"/>
          <w:b/>
          <w:color w:val="4A6B25"/>
          <w:sz w:val="20"/>
        </w:rPr>
        <w:t xml:space="preserve">3. </w:t>
      </w:r>
      <w:r>
        <w:rPr>
          <w:rFonts w:ascii="Calibri" w:hAnsi="Calibri"/>
          <w:b w:val="0"/>
          <w:color w:val="3A4A28"/>
          <w:sz w:val="20"/>
        </w:rPr>
        <w:t>GAAP earnings opacity — the complex partnership structure produces deeply negative GAAP metrics that make fundamental analysis challenging and could trigger forced selling by earnings-based institutional mandates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Renewable energy infrastructure is structurally immune to AI disruption — AI cannot replace hydroelectric dams, wind farms, or solar installations. More importantly, AI is a massive demand driver for electricity: the buildout of AI data centers requires enormous new power capacity, and Brookfield Renewable's 200 GW development pipeline is directly positioned to supply this demand [2]. CEO Teskey stated Brookfield's exposure to software companies affected by AI is 'very minimal,' noting the focus on 'real assets where we don't take any technology risk' [2]. The NVIDIA-backed $100B AI Infrastructure Program explicitly connects BEPC's renewable assets to AI power demand. AI Opportunity (1/1): The $100B AI Infrastructure Program with NVIDIA and Kuwait Investment Authority as founding partners represents the most direct monetization of AI-driven electricity demand in the renewable sector, with contracted power purchase agreements for AI data centers generating quantifiable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Renewable Partners Q1 2026 Earnings — record $375M FFO (up 19% YoY), $2.2B deployed, 1.8 GW online, Boralex privatization, May 2026</w:t>
      </w:r>
    </w:p>
    <w:p>
      <w:pPr>
        <w:spacing w:before="20" w:after="20"/>
        <w:ind w:left="170"/>
      </w:pPr>
      <w:r>
        <w:rPr>
          <w:rFonts w:ascii="Calibri" w:hAnsi="Calibri"/>
          <w:b/>
          <w:color w:val="4A6B25"/>
          <w:sz w:val="15"/>
        </w:rPr>
        <w:t xml:space="preserve">2. </w:t>
      </w:r>
      <w:r>
        <w:rPr>
          <w:rFonts w:ascii="Calibri" w:hAnsi="Calibri"/>
          <w:b w:val="0"/>
          <w:color w:val="3A4A28"/>
          <w:sz w:val="17"/>
        </w:rPr>
        <w:t>Brookfield CEO Connor Teskey succession (38-year-old CEO), $100B AI Infrastructure Program with NVIDIA, 200 GW pipeline, Institutional Investor profile, 2026</w:t>
      </w:r>
    </w:p>
    <w:p>
      <w:pPr>
        <w:spacing w:before="20" w:after="20"/>
        <w:ind w:left="170"/>
      </w:pPr>
      <w:r>
        <w:rPr>
          <w:rFonts w:ascii="Calibri" w:hAnsi="Calibri"/>
          <w:b/>
          <w:color w:val="4A6B25"/>
          <w:sz w:val="15"/>
        </w:rPr>
        <w:t xml:space="preserve">3. </w:t>
      </w:r>
      <w:r>
        <w:rPr>
          <w:rFonts w:ascii="Calibri" w:hAnsi="Calibri"/>
          <w:b w:val="0"/>
          <w:color w:val="3A4A28"/>
          <w:sz w:val="17"/>
        </w:rPr>
        <w:t>Environmental groups denounce Brookfield for greenwashing (Maine dams, Atlantic salmon); Brookfield fossil fuel investments via Oaktree affiliate; NRCM, PE Climate Risks</w:t>
      </w:r>
    </w:p>
    <w:p>
      <w:pPr>
        <w:spacing w:before="20" w:after="20"/>
        <w:ind w:left="170"/>
      </w:pPr>
      <w:r>
        <w:rPr>
          <w:rFonts w:ascii="Calibri" w:hAnsi="Calibri"/>
          <w:b/>
          <w:color w:val="4A6B25"/>
          <w:sz w:val="15"/>
        </w:rPr>
        <w:t xml:space="preserve">4. </w:t>
      </w:r>
      <w:r>
        <w:rPr>
          <w:rFonts w:ascii="Calibri" w:hAnsi="Calibri"/>
          <w:b w:val="0"/>
          <w:color w:val="3A4A28"/>
          <w:sz w:val="17"/>
        </w:rPr>
        <w:t>Brookfield Renewable corporate website — sustainability policy, board of directors, purpose statement,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BEPC,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