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w:t>
      </w:r>
      <w:r>
        <w:rPr>
          <w:rFonts w:ascii="Calibri" w:hAnsi="Calibri"/>
          <w:b/>
          <w:color w:val="1A2010"/>
          <w:sz w:val="40"/>
        </w:rPr>
        <w:t xml:space="preserve">  Bloom Energy Corporation</w:t>
      </w:r>
    </w:p>
    <w:p>
      <w:pPr>
        <w:spacing w:after="120"/>
      </w:pPr>
      <w:r>
        <w:rPr>
          <w:rFonts w:ascii="Calibri" w:hAnsi="Calibri"/>
          <w:b/>
          <w:color w:val="6E8450"/>
          <w:sz w:val="18"/>
        </w:rPr>
        <w:t>GROWTH SLEEVE · 2026-03-27 · Inspire: 66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NYSE · United States</w:t>
      </w:r>
    </w:p>
    <w:p>
      <w:pPr>
        <w:spacing w:after="80"/>
      </w:pPr>
      <w:r>
        <w:rPr>
          <w:rFonts w:ascii="Calibri" w:hAnsi="Calibri"/>
          <w:b w:val="0"/>
          <w:color w:val="3A4A28"/>
          <w:sz w:val="20"/>
        </w:rPr>
        <w:t>Bloom Energy manufactures and deploys solid oxide fuel cell systems (Bloom Energy Servers) that provide reliable, on-site power generation for enterprises, data centers, and utilities. Founded by former NASA scientist KR Sridhar, the company has installed approximately 1.4 GW across 1,000+ locations in nine countries and is rapidly scaling to meet AI data center power demand.</w:t>
      </w:r>
    </w:p>
    <w:p>
      <w:r>
        <w:rPr>
          <w:rFonts w:ascii="Calibri" w:hAnsi="Calibri"/>
          <w:b/>
          <w:color w:val="6E8450"/>
          <w:sz w:val="18"/>
        </w:rPr>
        <w:t>2,214 Employees · https://www.bloomenergy.com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Bloom Energy's solid oxide fuel cell technology, originally developed from NASA Mars exploration research, represents genuine frontier innovation — the company has achieved double-digit YoY cost reductions for ten consecutive years and a 10x increase in power production per footprint [1]. The $5B Brookfield partnership for AI data center power, $2.65B AEP exercise for a 1GW fuel cell facility in Wyoming, and carbon capture partnership with Chart Industries demonstrate category-creating innovation [2]. Manufacturing capacity is doubling to 2 GW by end of 2026, and the $20B order backlog validates market demand at unprecedented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KR Sridhar's journey from NASA Mars research to building the world's leading fuel cell company is genuinely inspirational, and his framing of AI data center power as 'a once-in-a-generation opportunity to redefine how power is generated' resonates powerfully [2]. The board includes former Cisco CEO John Chambers and former GE CEO Jeff Immelt, lending institutional credibility. The stock's 596% surge in 12 months reflects extraordinary market confidence. However, Hindenburg Research's greenwashing allegations and Amazon's Oregon contract cancellation for environmental concerns create narrative tension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Bloom Energy's financial infrastructure shows rapid improvement but remains fragile: record revenue of $2.02B (+37.3% YoY) with improving gross margins of 29%, and Q1 2026 revenue of $778M beating estimates by 20% [1]. However, the company remains unprofitable with a -4.4% profit margin, -12.6% ROE, and D/E of 377.8% — extremely high leverage. The forward P/E of 45.4x prices in significant growth acceleration, and the $20B backlog provides visibility but requires flawless execution. Bloom ended 2025 with $2B+ in liquidity, providing near-term financial stability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Bloom Energy exemplifies infinite-game thinking through CEO Sridhar's two-decade commitment to commercializing fuel cell technology from NASA research, patient development through multiple technology cycles, and willingness to adapt the product for new applications (from office buildings to AI data centers). The company's investment in hydrogen-ready technology and carbon capture partnerships demonstrate forward-looking flexibility beyond the current natural gas platform.</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Sridhar's mission to 'redefine how power is generated and delivered' through clean, reliable, distributed energy represents a compelling just cause — the company's technology addresses both climate change (lower emissions than grid power in many regions) and energy security (on-site generation independent of fragile grid infrastructure) [2]. The pivot from Mars exploration to Earth power generation adds an authentic origin story.</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2,214 employees and a technically demanding manufacturing operation, Bloom maintains a skilled workforce under a founder-led culture. The board's inclusion of John Chambers and Jeff Immelt provides governance depth. However, the 377.8% D/E and history of subsidy dependence create financial precarity that could stress team retention during scaling challenges.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Bloom competes against traditional grid infrastructure, diesel generators, solar+battery, and emerging solid oxide and PEM fuel cell competitors. The company's partnerships with Brookfield, AEP, and Equinix demonstrate competitive positioning that rivals cannot easily replicate. The response to Hindenburg's criticisms through the Chart Industries carbon capture partnership shows learning from competitive challenges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Bloom demonstrated remarkable existential flexibility in pivoting from general commercial/industrial customers to AI data center power — a market that barely existed before 2024 — in a matter of months [1]. The company's fuel-agnostic platform (natural gas today, hydrogen tomorrow) and carbon capture integration provide technology flexibility that protects against regulatory shifts.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Sridhar's decision to pursue solid oxide fuel cells for two decades through multiple technology skepticism cycles, the bold $5B Brookfield partnership, and the willingness to take on a $20B order backlog requiring manufacturing capacity doubling all demonstrate extraordinary leadership courage [2]. The company's push into hydrogen-ready technology and carbon capture addresses environmental criticisms head-on.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Bloom Energy is the premier enabler of the AI data center power buildout, with a $20B order backlog, $5B Brookfield partnership, $2.65B AEP deal, and contracts with Oracle, Equinix, and CoreWeave [1][2]. Revenue grew 37.3% to $2.02B in 2025, with Q1 2026 beating estimates by 20% at $778M, and 2026 guidance of $3.1-3.3B implies 54-63% growth acceleration. Manufacturing capacity is doubling to 2 GW by end of 2026. CEO Sridhar's 596% stock appreciation over 12 months reflects the market's recognition that Bloom's rapid-deployment fuel cells solve the critical bottleneck — power — constraining AI infrastructure scaling. The fuel-agnostic platform positions Bloom for the eventual hydrogen economy while generating revenue from natural gas today.</w:t>
      </w:r>
    </w:p>
    <w:p>
      <w:pPr>
        <w:spacing w:after="120"/>
      </w:pPr>
      <w:r>
        <w:rPr>
          <w:rFonts w:ascii="Calibri" w:hAnsi="Calibri"/>
          <w:b w:val="0"/>
          <w:color w:val="3A4A28"/>
          <w:sz w:val="20"/>
        </w:rPr>
        <w:t>The bear case centers on valuation and environmental concerns: at 45.4x forward P/E with negative profitability (-4.4% profit margin) and 377.8% D/E, the stock is priced for flawless execution of an unprecedented manufacturing ramp [1]. Hindenburg Research's greenwashing allegations — that Bloom fuel cells produce more CO2 than grid power in most states where it operates — Amazon's Oregon contract cancellation, and subsidy curtailments in California, New Jersey, and Delaware highlight the tension between Bloom's 'clean energy' branding and its current natural gas fuel source [3]. If natural gas prices spike or regulators tighten emissions standards before hydrogen becomes commercially viable, the value proposition deteriorates. The $20B backlog requires manufacturing capacity that doesn't yet exist, and execution failure on the 2 GW expansion would devastate credibility and revenue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AEP 1 GW fuel cell facility installation beginning in late 2026, representing the single largest fuel cell deployment in history and a $2.65B recognized revenue opportunity [1]</w:t>
      </w:r>
    </w:p>
    <w:p>
      <w:pPr>
        <w:spacing w:before="40" w:after="40"/>
        <w:ind w:left="283"/>
      </w:pPr>
      <w:r>
        <w:rPr>
          <w:rFonts w:ascii="Calibri" w:hAnsi="Calibri"/>
          <w:b/>
          <w:color w:val="4A6B25"/>
          <w:sz w:val="20"/>
        </w:rPr>
        <w:t xml:space="preserve">2. </w:t>
      </w:r>
      <w:r>
        <w:rPr>
          <w:rFonts w:ascii="Calibri" w:hAnsi="Calibri"/>
          <w:b w:val="0"/>
          <w:color w:val="3A4A28"/>
          <w:sz w:val="20"/>
        </w:rPr>
        <w:t>$5B Brookfield partnership deployments ramping across Brookfield's $1T infrastructure portfolio, potentially expanding into a much larger multi-phase relationship [2]</w:t>
      </w:r>
    </w:p>
    <w:p>
      <w:pPr>
        <w:spacing w:before="40" w:after="40"/>
        <w:ind w:left="283"/>
      </w:pPr>
      <w:r>
        <w:rPr>
          <w:rFonts w:ascii="Calibri" w:hAnsi="Calibri"/>
          <w:b/>
          <w:color w:val="4A6B25"/>
          <w:sz w:val="20"/>
        </w:rPr>
        <w:t xml:space="preserve">3. </w:t>
      </w:r>
      <w:r>
        <w:rPr>
          <w:rFonts w:ascii="Calibri" w:hAnsi="Calibri"/>
          <w:b w:val="0"/>
          <w:color w:val="3A4A28"/>
          <w:sz w:val="20"/>
        </w:rPr>
        <w:t>Achieving 2 GW annual manufacturing capacity by end of 2026, removing the production bottleneck and enabling acceleration of the $20B order backlog into recognized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Manufacturing scaling failure — doubling capacity to 2 GW requires supply chain execution, workforce expansion, and quality maintenance that could be disrupted by component shortages or technical issues [1]</w:t>
      </w:r>
    </w:p>
    <w:p>
      <w:pPr>
        <w:spacing w:before="40" w:after="40"/>
        <w:ind w:left="283"/>
      </w:pPr>
      <w:r>
        <w:rPr>
          <w:rFonts w:ascii="Calibri" w:hAnsi="Calibri"/>
          <w:b/>
          <w:color w:val="4A6B25"/>
          <w:sz w:val="20"/>
        </w:rPr>
        <w:t xml:space="preserve">2. </w:t>
      </w:r>
      <w:r>
        <w:rPr>
          <w:rFonts w:ascii="Calibri" w:hAnsi="Calibri"/>
          <w:b w:val="0"/>
          <w:color w:val="3A4A28"/>
          <w:sz w:val="20"/>
        </w:rPr>
        <w:t>Environmental and regulatory backlash — Hindenburg's greenwashing allegations, Amazon's Oregon cancellation, and subsidy curtailments in CA/NJ/DE could accelerate if regulators determine natural gas fuel cells don't qualify for clean energy incentives [3]</w:t>
      </w:r>
    </w:p>
    <w:p>
      <w:pPr>
        <w:spacing w:before="40" w:after="40"/>
        <w:ind w:left="283"/>
      </w:pPr>
      <w:r>
        <w:rPr>
          <w:rFonts w:ascii="Calibri" w:hAnsi="Calibri"/>
          <w:b/>
          <w:color w:val="4A6B25"/>
          <w:sz w:val="20"/>
        </w:rPr>
        <w:t xml:space="preserve">3. </w:t>
      </w:r>
      <w:r>
        <w:rPr>
          <w:rFonts w:ascii="Calibri" w:hAnsi="Calibri"/>
          <w:b w:val="0"/>
          <w:color w:val="3A4A28"/>
          <w:sz w:val="20"/>
        </w:rPr>
        <w:t>Valuation compression — at 45x forward earnings with negative current profitability and 378% D/E, any guidance miss or backlog cancellation could trigger a severe correction from the 596% rally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Bloom Energy is the premier beneficiary of AI's insatiable power demands — the company's fuel cell technology provides rapid-deployment, on-site power generation that bypasses grid constraints limiting AI data center buildouts [1][2]. Contracts with hyperscalers (Oracle), utilities (AEP/AWS), colocation providers (Equinix, 100+ MW), neoclouds (CoreWeave), and the $5B Brookfield partnership for AI infrastructure make Bloom an essential enabler of the AI revolution. CEO Sridhar's statement that AI will be 'the dog and everything else the tail' for energy growth for 8-10 years defines the company's structural tailwind. The fuel cells' deployment speed (months vs. years for grid infrastructure) is Bloom's irreplaceable competitive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Bloom Energy Q4/FY2025 Results and Q1 2026 Earnings; Motley Fool — 'Why Bloom Energy Stock Surged 291% in 2025 And Is Climbing Higher', February 2026</w:t>
      </w:r>
    </w:p>
    <w:p>
      <w:pPr>
        <w:spacing w:before="20" w:after="20"/>
        <w:ind w:left="170"/>
      </w:pPr>
      <w:r>
        <w:rPr>
          <w:rFonts w:ascii="Calibri" w:hAnsi="Calibri"/>
          <w:b/>
          <w:color w:val="4A6B25"/>
          <w:sz w:val="15"/>
        </w:rPr>
        <w:t xml:space="preserve">2. </w:t>
      </w:r>
      <w:r>
        <w:rPr>
          <w:rFonts w:ascii="Calibri" w:hAnsi="Calibri"/>
          <w:b w:val="0"/>
          <w:color w:val="3A4A28"/>
          <w:sz w:val="17"/>
        </w:rPr>
        <w:t>Bloom Energy — '$5B Brookfield Partnership' Press Release; Semafor — 'KR Sridhar on why all CEOs need a power strategy', September 2025</w:t>
      </w:r>
    </w:p>
    <w:p>
      <w:pPr>
        <w:spacing w:before="20" w:after="20"/>
        <w:ind w:left="170"/>
      </w:pPr>
      <w:r>
        <w:rPr>
          <w:rFonts w:ascii="Calibri" w:hAnsi="Calibri"/>
          <w:b/>
          <w:color w:val="4A6B25"/>
          <w:sz w:val="15"/>
        </w:rPr>
        <w:t xml:space="preserve">3. </w:t>
      </w:r>
      <w:r>
        <w:rPr>
          <w:rFonts w:ascii="Calibri" w:hAnsi="Calibri"/>
          <w:b w:val="0"/>
          <w:color w:val="3A4A28"/>
          <w:sz w:val="17"/>
        </w:rPr>
        <w:t>Hindenburg Research — 'Bloom Energy: A Clean Energy Darling Wilting to its Demise'; Amazon Oregon contract cancellation coverage</w:t>
      </w:r>
    </w:p>
    <w:p>
      <w:pPr>
        <w:spacing w:before="20" w:after="20"/>
        <w:ind w:left="170"/>
      </w:pPr>
      <w:r>
        <w:rPr>
          <w:rFonts w:ascii="Calibri" w:hAnsi="Calibri"/>
          <w:b/>
          <w:color w:val="4A6B25"/>
          <w:sz w:val="15"/>
        </w:rPr>
        <w:t xml:space="preserve">4. </w:t>
      </w:r>
      <w:r>
        <w:rPr>
          <w:rFonts w:ascii="Calibri" w:hAnsi="Calibri"/>
          <w:b w:val="0"/>
          <w:color w:val="3A4A28"/>
          <w:sz w:val="17"/>
        </w:rPr>
        <w:t>Yahoo Finance — BE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