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BGC</w:t>
      </w:r>
      <w:r>
        <w:rPr>
          <w:rFonts w:ascii="Calibri" w:hAnsi="Calibri"/>
          <w:b/>
          <w:color w:val="1A2010"/>
          <w:sz w:val="40"/>
        </w:rPr>
        <w:t xml:space="preserve">  BGC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41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BGC Group is a global marketplace, data, and financial technology services company for fixed income, FX, energy, commodities, shipping, and equities. It operates the FMX Futures Exchange and Fenics electronic trading platforms.</w:t>
      </w:r>
    </w:p>
    <w:p>
      <w:r>
        <w:rPr>
          <w:rFonts w:ascii="Calibri" w:hAnsi="Calibri"/>
          <w:b/>
          <w:color w:val="6E8450"/>
          <w:sz w:val="18"/>
        </w:rPr>
        <w:t>4,000 Employees · https://www.bgcg.com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Strong innovation track record: FMX UST grew to 39% market share in Q4 2025 (up from 30% a year prior), and FMX futures crossed 1% market share in January 2026 with record 200,000 open interest contracts - a transformative launch. [1] AI-powered data analytics added via acquisition for institutional clients. [2] Market share leader in wholesale interdealer brokerage with gaining share in electronic trading. Lucera pipeline expanding with new fixed income products planned for 2026. R&amp;D reinvestment evidenced by $165M in divestitures of low-growth Fenics businesses to fund higher-growth segments. Score: track record 3 + AI 1 + share 2 + pipeline 2 + R&amp;D 0 = 8.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emphasizes strong values, employee engagement, ownership, innovation, superior client service, and ethics (2 points floor - clear but not distinctive). [3] ESG initiatives include environmental brokerage and weather derivatives business supporting energy transition (1 point community impact). Founder-CEO Howard Lutnick stepped down to become US Secretary of Commerce Feb 2025 and BGC repurchased 16.4M shares from him - neutral insider signal. No specific retention data. Score: 2 + 1 + 0 + 1 = 4.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Strong growth offset by elevated leverage. [1] Revenue growth YoY 32% (record year), ROE 13.2% (below 15% target), profit margin 5.5% (well below 20%), D/E 174% (above 70% target but well below 300% floor), Forward P/E 7.2 (well below 20 target - attractive), trailing P/E 37. Liquidity passes ($11.47 x 2.48M = $28.5M).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Lutnick built BGC with a long-horizon platform vision (FMX took decades to seed), but founder transition and financial-services-industry finite mindset keep this in mixed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Stated values around ethics and client service are credible but read as industry boilerplate; no transformative cause articulated.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Employee ownership culture cited in BGC materials; smooth transition to three Co-CEOs (Abularrage, Aubin, Windeatt) following Lutnick departure indicates strong bench. [2]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Competitive language is share-capture oriented (vs. CME, Tradeweb), not learning oriented. 0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BGC has transformed from traditional voice interdealer broker (Cantor Fitzgerald heritage) into an electronic trading and exchange operator via Fenics, Lucera, and now FMX - a genuine reinvention. [1] 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Seeding FMX futures exchange to challenge CME for Treasury futures required years of investment with no revenue - a courageous long-term bet that is now paying off with 1% market share and 200k contracts OI. [1] Divesting two low-growth Fenics businesses for $165M to refocus also shows discipline. 2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BGC is executing one of the most impressive platform pivots in financial services: FMX UST now holds 39% US Treasury cash market share (up from 30% YoY) and FMX futures crossed 1% market share in January 2026 with record 200k open interest contracts, challenging CME's Treasury futures monopoly. [1] Full-year 2025 revenue grew 30% to nearly $3B and management guided Q1 2026 revenue growth of 34% at the midpoint. Forward P/E of 7.2 is exceptionally cheap for a company compounding this fast.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EPS was -42% YoY in FY2025 due to FMX build-out and transition costs, D/E is elevated at 174%, and profit margin of only 5.5% reflects the heavy reinvestment phase. Founder Howard Lutnick's departure to become US Secretary of Commerce removes a unique operator (37+ year Cantor/BGC tenure) and introduces three Co-CEO governance risk. If FMX futures adoption stalls near current 1% share, the thesis is impaired. Reg/political exposure via Lutnick is an uncommon overhang.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FMX Futures Exchange market share accretion above 1% - every additional point of CME futures volume creates material operating leverage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Q1 2026 revenue guidance of $860-920M (34% YoY midpoint) delivery with pretax adjusted earnings up 32%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Fenics Lucera FX/rates growth (+24% YoY) and new fixed income product launches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Three Co-CEO governance structure (Abularrage, Aubin, Windeatt) may struggle vs. single-founder decisiveness of Lutnick era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FMX futures stalling below critical mass as CME defends Treasury futures market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Elevated D/E of 174% constrains flexibility in a financial-markets downturn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BGC is an AI beneficiary rather than a target - its FMX and Fenics platforms ARE the AI/electronic-trading infrastructure displacing voice brokerage. [1][2] The firm is investing in AI-powered data analytics for institutional clients. Voice brokerage is an AI-exposed sub-segment but BGC has actively migrated to electronic trading. Analysts view FMX Futures Exchange launch as accretive, not threatened. AI revenue contribution via AI-powered analytics acquisition qualifies for tiebreaker point. Score: protection 6 + opportunity 1 = 7.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BGC Group Q4 2025 Earnings Call Transcript,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BGC Group Inc Q4 2025 Earnings Highlights, Yahoo Finance,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BGC Group ESG page, bgcg.com/esg,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