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BGS</w:t>
      </w:r>
      <w:r>
        <w:rPr>
          <w:rFonts w:ascii="Calibri" w:hAnsi="Calibri"/>
          <w:b/>
          <w:color w:val="1A2010"/>
          <w:sz w:val="40"/>
        </w:rPr>
        <w:t xml:space="preserve">  B&amp;G Foods, Inc.</w:t>
      </w:r>
    </w:p>
    <w:p>
      <w:pPr>
        <w:spacing w:after="120"/>
      </w:pPr>
      <w:r>
        <w:rPr>
          <w:rFonts w:ascii="Calibri" w:hAnsi="Calibri"/>
          <w:b/>
          <w:color w:val="6E8450"/>
          <w:sz w:val="18"/>
        </w:rPr>
        <w:t>DIVIDEND SLEEVE · 2026-04-16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B&amp;G Foods manufactures, sells, and distributes a portfolio of shelf-stable and frozen foods and household products in the United States, Canada, and Puerto Rico. Brands include Crisco, Green Giant, Ortega, Cream of Wheat, Clabber Girl, Spice Islands, and Dash. The company operates through Specialty, Meals, Frozen &amp; Vegetables, and Spices &amp; Flavor Solutions segments.</w:t>
      </w:r>
    </w:p>
    <w:p>
      <w:r>
        <w:rPr>
          <w:rFonts w:ascii="Calibri" w:hAnsi="Calibri"/>
          <w:b/>
          <w:color w:val="6E8450"/>
          <w:sz w:val="18"/>
        </w:rPr>
        <w:t>2,497 Employees · https://bgfoods.com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B&amp;G Foods has not launched any meaningful new products or executed business model transformations in the last 5 years — the company has been in defensive mode, divesting Green Giant U.S. frozen operations (~$203M in lost annual revenue) and acquiring College Inn/Kitchen Basics to reshape its portfolio [1]. Revenue has declined from $2.16B in 2022 to $1.83B in 2025. AI Deployment (0/2): No evidence of AI-powered products or AI-driven operational savings. Market Share (1/2): B&amp;G holds meaningful positions in niche shelf-stable categories (Crisco cooking oils, Ortega Mexican foods, Spice Islands seasonings) but is not a category leader in any major food segment and is losing share as consumers shift to fresh/premium alternatives [1]. Pipeline (1/2): The College Inn acquisition and remaining core portfolio (Meals, Spices &amp; Flavor Solutions, Specialty) are being repositioned, with Q1 2026 base business growing ~4%, suggesting early stabilization [1]. R&amp;D Intensity (0/1): B&amp;G spends minimally on R&amp;D — innovation function exists under VP R&amp;D but spending is well below industry peers like General Mills or Conagra.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B&amp;G Foods does not articulate a distinctive mission or purpose beyond operational and financial objectives — the company's public communications focus on portfolio management and debt reduction rather than a vision of why the company exists beyond making money [3]. Community Impact (1/2): B&amp;G released an inaugural CSR report in January 2024 outlining environmental and social goals, including zero-landfill programs achieving 92% diversion rates and pesticide risk mitigation programs with suppliers [3]. However, charitable giving is not prominently quantified. Employee Retention (0/2): Glassdoor rating of only 2.9/5 with just 33% of employees recommending the company — reviews describe 'inflated egos,' 'toxic leadership culture,' and an environment 'increasingly hostile, especially for employees of color' [2]. Insider Buying (1/2): CEO Casey Keller received a 311,351-share stock award grant in March 2026, signaling alignment, but no meaningful open-market insider buying is evident — all recent insider transactions are compensation-related grants rather than conviction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B&amp;G Foods' financial profile reflects a highly leveraged, low-margin packaged food company in secular decline. D/E of 441.9% (above 300% floor) scores 0 — the company carries $2.0B in debt against a $445M market cap [5]. ROE of -8.85% and profit margin of -2.37% are both below floor, scoring 0 [5]. Revenue declined from $2.16B (2022) to $1.83B (2025), yielding a negative 3yr CAGR of -5.4% which is below the -5% floor [5]. Forward P/E of 8.2x is the sole bright spot among core metrics, scoring 1.0. Payout ratio of 333% reflects dividends paid from operating cash flow despite negative earnings — unsustainable. The dividend was slashed 60% from $0.475/quarter to $0.19/quarter in 2023, eliminating consecutive growth years. 19 consecutive years of dividend payments (since 2007) scores 1.0 at 2x weight. Liquidity floor cleared: 2.22M avg vol × $5.53 = $12.3M daily [5]. Weighted sum: 3.59 / 12 × 10 =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B&amp;G Foods is playing a distinctly finite game — the company exists as a holding company for legacy shelf-stable food brands, optimizing for debt reduction and dividend maintenance rather than pursuing a Just Cause. The serial acquisition strategy that built the portfolio was financial engineering, not purpose-driven growth, and the current divestiture cycle reflects a company trying to survive rather than one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B&amp;G Foods has no articulated Just Cause. The company's communications focus entirely on financial metrics — debt reduction, adjusted EBITDA guidance, portfolio optimization [1]. There is no vision of a future state that extends beyond 'managing a portfolio of shelf-stable food brands.' This is a financial holding company for legacy brands, not a purpose-driven organization. Score: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2.9/5 with 33% recommendation rate is significantly below average [2]. Reviews describe toxic leadership culture, title inflation, and hostile work environment. The 2,497-employee base has seen restructuring as the company divests brands and consolidates operations, creating organizational instability.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B&amp;G Foods does not demonstrate an infinite competitive mindset — the company's strategy is about managing decline and optimizing a shrinking portfolio rather than using competitive pressure to improve [1]. No evidence of management referencing learning from competitors like General Mills, Conagra, or Campbell's.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B&amp;G is making painful strategic shifts — divesting the Green Giant U.S. frozen business ($203M revenue reduction) and acquiring College Inn/Kitchen Basics to reshape the portfolio around higher-margin core brands [1]. This represents incremental adaptation to a changing food landscape, even if the changes are driven by financial necessity rather than a Just Cause.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slash the dividend 60% in 2023 and divest Green Giant — the company's most recognizable brand — required leadership courage, even though the decisions were forced by unsustainable leverage [1]. CEO Casey Keller has prioritized debt reduction over short-term market approval. FY2026 guidance of $0.55-$0.65 adjusted EPS shows management setting realistic expectations.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B&amp;G Foods is a deep value play in packaged foods trading at just 8.2x forward earnings with a 13.7% dividend yield — but only if the turnaround thesis materializes. FY2026 guidance of $1.655B-$1.695B revenue and $265M-$275M adjusted EBITDA reflects a streamlined portfolio after divesting Green Giant frozen, and early Q1 2026 data shows base business growth of ~4% [1]. Free cash flow of $137.5M covers the reduced $60.8M annual dividend ($0.76/share) with room for debt reduction. The College Inn acquisition strengthens the Meals segment, and CEO Keller's focus on core brands (Crisco, Ortega, Spice Islands, Dash) could drive margin improvement as the company exits low-margin, high-complexity frozen operations.</w:t>
      </w:r>
    </w:p>
    <w:p>
      <w:pPr>
        <w:spacing w:after="120"/>
      </w:pPr>
      <w:r>
        <w:rPr>
          <w:rFonts w:ascii="Calibri" w:hAnsi="Calibri"/>
          <w:b w:val="0"/>
          <w:color w:val="3A4A28"/>
          <w:sz w:val="20"/>
        </w:rPr>
        <w:t>The bear case is compelling: D/E of 442% with $2.0B in debt against a $445M market cap creates existential leverage risk if operating performance deteriorates [5]. Revenue has declined from $2.16B to $1.83B over three years as the portfolio shrinks through divestitures. Profit margins are negative (-2.4%) and ROE is deeply negative (-8.9%), indicating the business does not currently earn its cost of capital. The 13.7% dividend yield signals market skepticism about sustainability — the payout ratio on trailing earnings is 333%, though forward coverage on $0.55-$0.65 EPS is approximately 117-138% [1][5]. Consumer shift away from shelf-stable processed foods toward fresh, organic, and premium alternatives represents a secular headwind. Glassdoor reviews revealing toxic culture and low employee morale suggest operational challenges beyond the balance sheet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Base business stabilization — Q1 2026 base business net sales growing ~4% could signal the portfolio restructuring is working, supporting revenue guidance of $1.655B-$1.695B [1]</w:t>
      </w:r>
    </w:p>
    <w:p>
      <w:pPr>
        <w:spacing w:before="40" w:after="40"/>
        <w:ind w:left="283"/>
      </w:pPr>
      <w:r>
        <w:rPr>
          <w:rFonts w:ascii="Calibri" w:hAnsi="Calibri"/>
          <w:b/>
          <w:color w:val="4A6B25"/>
          <w:sz w:val="20"/>
        </w:rPr>
        <w:t xml:space="preserve">2. </w:t>
      </w:r>
      <w:r>
        <w:rPr>
          <w:rFonts w:ascii="Calibri" w:hAnsi="Calibri"/>
          <w:b w:val="0"/>
          <w:color w:val="3A4A28"/>
          <w:sz w:val="20"/>
        </w:rPr>
        <w:t>Debt reduction from Green Giant divestiture proceeds and free cash flow generation could improve the 442% D/E ratio, reducing financial risk and potentially unlocking equity value [1]</w:t>
      </w:r>
    </w:p>
    <w:p>
      <w:pPr>
        <w:spacing w:before="40" w:after="40"/>
        <w:ind w:left="283"/>
      </w:pPr>
      <w:r>
        <w:rPr>
          <w:rFonts w:ascii="Calibri" w:hAnsi="Calibri"/>
          <w:b/>
          <w:color w:val="4A6B25"/>
          <w:sz w:val="20"/>
        </w:rPr>
        <w:t xml:space="preserve">3. </w:t>
      </w:r>
      <w:r>
        <w:rPr>
          <w:rFonts w:ascii="Calibri" w:hAnsi="Calibri"/>
          <w:b w:val="0"/>
          <w:color w:val="3A4A28"/>
          <w:sz w:val="20"/>
        </w:rPr>
        <w:t>Margin improvement from exiting low-margin Green Giant frozen operations and focusing on higher-margin Spices &amp; Flavor Solutions and Specialty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leverage risk — $2.0B debt against $445M market cap (4.5x debt-to-equity) with negative profitability creates refinancing risk if interest rates remain elevated or operating performance deteriorates [5]</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shelf-stable food categories — consumer shift toward fresh, organic, and premium alternatives pressures volume and pricing power across B&amp;G's entire portfolio [1]</w:t>
      </w:r>
    </w:p>
    <w:p>
      <w:pPr>
        <w:spacing w:before="40" w:after="40"/>
        <w:ind w:left="283"/>
      </w:pPr>
      <w:r>
        <w:rPr>
          <w:rFonts w:ascii="Calibri" w:hAnsi="Calibri"/>
          <w:b/>
          <w:color w:val="4A6B25"/>
          <w:sz w:val="20"/>
        </w:rPr>
        <w:t xml:space="preserve">3. </w:t>
      </w:r>
      <w:r>
        <w:rPr>
          <w:rFonts w:ascii="Calibri" w:hAnsi="Calibri"/>
          <w:b w:val="0"/>
          <w:color w:val="3A4A28"/>
          <w:sz w:val="20"/>
        </w:rPr>
        <w:t>Dividend sustainability — the 13.7% yield at 333% payout ratio on trailing earnings requires significant earnings improvement to avoid a second dividend cut, which would likely trigger further equity price decline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Packaged food manufacturing and distribution is a physical-world business that AI cannot substitute — making Crisco oil, canning Green Giant vegetables, and distributing to supermarkets requires physical plants, supply chains, and shelf space that software cannot replace [1]. Consumer food purchasing decisions are driven by brand loyalty, taste, and shelf placement rather than digital disintermediation. The modest AI risk comes from AI-powered supply chain optimization by larger competitors (General Mills, Conagra) potentially widening the efficiency gap with smaller players like B&amp;G. AI Opportunity (0/1): No evidence of AI revenue generation or meaningful AI-powered product innovation at B&amp;G Foods.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B&amp;G Foods Q4 2025 Earnings Call Transcript — FY2026 guidance ($1.655B-$1.695B revenue, $0.55-$0.65 adj EPS), portfolio restructuring, Q1 base business growth ~4%,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B&amp;G Foods employee reviews, 2.9/5 rating, 33% recommendation, toxic culture descriptions,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B&amp;G Foods Inaugural CSR Report — Environmental goals, zero-landfill programs, pesticide risk mitigation, January 2024</w:t>
      </w:r>
    </w:p>
    <w:p>
      <w:pPr>
        <w:spacing w:before="20" w:after="20"/>
        <w:ind w:left="170"/>
      </w:pPr>
      <w:r>
        <w:rPr>
          <w:rFonts w:ascii="Calibri" w:hAnsi="Calibri"/>
          <w:b/>
          <w:color w:val="4A6B25"/>
          <w:sz w:val="15"/>
        </w:rPr>
        <w:t xml:space="preserve">4. </w:t>
      </w:r>
      <w:r>
        <w:rPr>
          <w:rFonts w:ascii="Calibri" w:hAnsi="Calibri"/>
          <w:b w:val="0"/>
          <w:color w:val="3A4A28"/>
          <w:sz w:val="17"/>
        </w:rPr>
        <w:t>SEC Filings — B&amp;G Foods insider transactions, CEO stock award grants, no open-market buying,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BGS (B&amp;G Foods),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