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w:t>
      </w:r>
      <w:r>
        <w:rPr>
          <w:rFonts w:ascii="Calibri" w:hAnsi="Calibri"/>
          <w:b/>
          <w:color w:val="1A2010"/>
          <w:sz w:val="40"/>
        </w:rPr>
        <w:t xml:space="preserve">  Bunge Global SA</w:t>
      </w:r>
    </w:p>
    <w:p>
      <w:pPr>
        <w:spacing w:after="120"/>
      </w:pPr>
      <w:r>
        <w:rPr>
          <w:rFonts w:ascii="Calibri" w:hAnsi="Calibri"/>
          <w:b/>
          <w:color w:val="6E8450"/>
          <w:sz w:val="18"/>
        </w:rPr>
        <w:t>DIVIDEND SLEEVE · 2026-04-22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United States</w:t>
      </w:r>
    </w:p>
    <w:p>
      <w:pPr>
        <w:spacing w:after="80"/>
      </w:pPr>
      <w:r>
        <w:rPr>
          <w:rFonts w:ascii="Calibri" w:hAnsi="Calibri"/>
          <w:b w:val="0"/>
          <w:color w:val="3A4A28"/>
          <w:sz w:val="20"/>
        </w:rPr>
        <w:t>Bunge Global SA is one of the world's leading agribusiness and food companies, operating in the origination, processing, and distribution of oilseeds, grains, and agricultural commodities. Following its 2024 merger with Viterra, Bunge is the largest global oilseed processor and a leading grain merchandiser, with operations spanning over 40 countries.</w:t>
      </w:r>
    </w:p>
    <w:p>
      <w:r>
        <w:rPr>
          <w:rFonts w:ascii="Calibri" w:hAnsi="Calibri"/>
          <w:b/>
          <w:color w:val="6E8450"/>
          <w:sz w:val="18"/>
        </w:rPr>
        <w:t>34,000 Employees · https://www.bunge.com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Bunge executed a transformative acquisition by merging with Viterra in 2024, creating the world's largest oilseed processor and dramatically expanding its grain merchandising volumes — Q4 2025 grain merchandising volumes more than tripled YoY from the integration [1]. This is a significant strategic move that reshaped the company. CEO Heckman has strengthened financial discipline and operational efficiency since his 2019 appointment [2]. AI Deployment (1/2): Bunge has deployed data analytics and technology to improve operational efficiency across its supply chain, and board-level AI expertise suggests strategic awareness, but no specific AI-powered products or quantified AI-driven cost savings have been publicly disclosed [2]. Market Share (2/2): Post-Viterra merger, Bunge is the world's largest oilseed processor and a top-3 global grain trader alongside Cargill and ADM, with dominant positioning in South American soy origination and global crush capacity [1]. Pipeline (0/2): No specific next-generation products or transformative growth initiatives with timelines have been announced. 2026 guidance of $7.50–$8.00 adjusted EPS reflects limited forward visibility [1]. R&amp;D Intensity (0/1): R&amp;D spending is minimal as a commodity processing company; innovation comes through operational efficiency and supply chain optimization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Bunge's purpose centers on connecting farmers to consumers to deliver essential food, feed, and fuel — a clear and socially valuable mission that identifies the company's role in global food security but is not deeply distinctive from agricultural peers like ADM or Cargill [2]. Community Impact (1/2): Bunge employs 34,000 people globally and has published sustainability reports with non-deforestation commitments. However, these commitments are heavily contested — Global Witness and NGOs have documented supply chain links to deforestation in Brazil's Cerrado and land-grabbing practices, undermining the community impact narrative [4][5]. Employee Retention (1/2): Glassdoor rating of approximately 3.7/5 with 74% recommending the company is average. Employee reviews note 'bad management' in some areas and limited growth opportunities, though CEO Heckman's 7-year tenure provides stability [2][3]. Insider Buying (1/2): No evidence of significant net insider buying found, though Heckman has meaningful equity exposure through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Bunge's infrastructure score benefits from strong valuation metrics and dividend consistency, though underlying profitability is thin. Forward P/E of 12.0x is attractive for the world's largest oilseed processor, and D/E of 91% is manageable post-Viterra integration [6]. Revenue surged 75.5% YoY to $70.3B, primarily driven by the Viterra consolidation rather than organic growth — the 3yr revenue CAGR of 1.5% reflects modest underlying growth [1][6]. Profit margin of 1.2% is extremely thin, typical for agricultural commodity processing but representing minimal earnings cushion. ROE of 6.0% is below target, reflecting the Viterra integration costs and commodity margin compression — net income fell from $1.14B (2024) to $816M (2025) despite revenue growth [1]. The dividend profile is the strength: 20+ consecutive years paid, 5 consecutive years of growth, 8.1% 5yr CAGR, and 2.23% yield at a 56% payout ratio [6]. Free cash flow was negative (-$7.1B) in 2025 due to Viterra integration working capital needs. Liquidity floor cleared: 1.75M avg volume × $125.83 = $219.7M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Bunge under CEO Heckman's 7-year leadership plays a mixed game — the company has executed a transformative Viterra merger that positions it for long-term scale advantages, and has maintained a consistent focus on connecting farmers to consumers globally. However, persistent deforestation controversies in its supply chain, the relentless focus on quarterly commodity margins, and limited visibility into a Just Cause beyond operational efficiency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Bunge's purpose — connecting farmers to consumers to deliver essential food, feed, and fuel — is socially valuable but reads as a business description rather than a Just Cause in the Sinek sense. There is no articulated vision of a future state that transcends the company's current operations. The company's strategic decisions are primarily driven by scale economies and commodity margins rather than a deeper purpose [2]. The deforestation controversies suggest the cause, if it exists, does not consistently guide supply chain decisions [4][5].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74% recommending the company indicates adequate organizational trust [3]. CEO Heckman's 7-year tenure and the successful execution of the complex Viterra merger demonstrate leadership stability and organizational capability. However, reviews noting 'bad management' in certain functions and limited growth opportunities suggest pockets of low trust, and integrating 34,000 employees from two merged companies creates cultural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Bunge explicitly operates in a competitive landscape with Cargill, ADM, and Louis Dreyfus (the ABCD trading houses), and management acknowledges these rivals' strengths in specific commodities and geographies. The Viterra merger itself was a competitive response to scale advantages possessed by Cargill, demonstrating that Bunge uses competitive dynamics to improve its own positioning rather than simply trying to win market share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Viterra merger represents significant strategic evolution — transforming Bunge from a large agricultural trader into the world's largest oilseed processor with dramatically expanded grain merchandising capabilities [1]. The company has also expanded into renewable diesel feedstock and plant-based protein ingredients. However, these are additive moves within the same agricultural commodity ecosystem, not a transformative pivot into an entirely new business. The core business model of commodity origination and processing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Viterra merger was a bold, costly bet that required significant integration risk and balance sheet strain (negative $7.1B FCF in 2025) in pursuit of long-term scale advantages [1]. Heckman pursued the deal despite uncertain commodity market conditions and guided to below-consensus 2026 EPS ($7.50–$8.00 vs. $8.94 consensus), showing willingness to set honest expectations. However, the company's failure to fully commit to deforestation-free supply chains despite NGO pressure suggests courage is selective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Bunge Global offers a compelling value proposition as the world's largest oilseed processor trading at 12.0x forward earnings with a 2.23% dividend yield and 20+ years of consecutive dividend payments [1][6]. The transformative Viterra merger — completed in 2024 — created unmatched global scale in oilseed processing and grain merchandising, with Q4 2025 segment EBIT of $756M (up 38% from $546M) demonstrating integration benefits in softseed processing [1]. Revenue of $70.3B and grain merchandising volumes tripling YoY confirm the scale thesis. Management guided to $7.50–$8.00 adjusted EPS for 2026, with significant upside potential as Viterra synergies fully materialize and commodity margins normalize. At $125.83/share, the stock offers food security exposure at a reasonable multiple with income support.</w:t>
      </w:r>
    </w:p>
    <w:p>
      <w:pPr>
        <w:spacing w:after="120"/>
      </w:pPr>
      <w:r>
        <w:rPr>
          <w:rFonts w:ascii="Calibri" w:hAnsi="Calibri"/>
          <w:b w:val="0"/>
          <w:color w:val="3A4A28"/>
          <w:sz w:val="20"/>
        </w:rPr>
        <w:t>The bear case centers on margin fragility, integration risk, and ESG controversy. Net income fell from $2.24B (2023) to $816M (2025) — a 64% decline — despite revenue growing from $59.5B to $70.3B, revealing the extreme commodity margin sensitivity of the business [1][6]. Profit margin of 1.16% provides virtually no earnings cushion. Free cash flow was negative $7.1B in 2025 due to Viterra integration working capital demands, creating near-term balance sheet pressure at 91% D/E. Management guided 2026 EPS of $7.50–$8.00, below the $8.94 analyst consensus, citing 'limited forward visibility' — a warning sign for earnings sustainability [1]. Deforestation controversies are significant: Global Witness has documented supply chain links to Cerrado deforestation and human rights abuses, and Bunge has resisted the Cerrado Manifesto's 2020 cutoff date despite pressure from Walmart, Tesco, and Unilever [4][5]. These ESG risks create regulatory, reputational, and customer-retention headwinds. EPS growth of -88.8% in 2025 shows the Viterra integration has not yet delivered bottom-line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Viterra synergy realization — integration of the world's largest oilseed processing network should drive cost savings and volume efficiency as the combined platform matures beyond the first full year [1]</w:t>
      </w:r>
    </w:p>
    <w:p>
      <w:pPr>
        <w:spacing w:before="40" w:after="40"/>
        <w:ind w:left="283"/>
      </w:pPr>
      <w:r>
        <w:rPr>
          <w:rFonts w:ascii="Calibri" w:hAnsi="Calibri"/>
          <w:b/>
          <w:color w:val="4A6B25"/>
          <w:sz w:val="20"/>
        </w:rPr>
        <w:t xml:space="preserve">2. </w:t>
      </w:r>
      <w:r>
        <w:rPr>
          <w:rFonts w:ascii="Calibri" w:hAnsi="Calibri"/>
          <w:b w:val="0"/>
          <w:color w:val="3A4A28"/>
          <w:sz w:val="20"/>
        </w:rPr>
        <w:t>Commodity margin normalization — soybean crush margins and grain trading spreads were depressed in 2025; any recovery in agricultural commodity margins would disproportionately benefit Bunge's expanded processing capacity [1]</w:t>
      </w:r>
    </w:p>
    <w:p>
      <w:pPr>
        <w:spacing w:before="40" w:after="40"/>
        <w:ind w:left="283"/>
      </w:pPr>
      <w:r>
        <w:rPr>
          <w:rFonts w:ascii="Calibri" w:hAnsi="Calibri"/>
          <w:b/>
          <w:color w:val="4A6B25"/>
          <w:sz w:val="20"/>
        </w:rPr>
        <w:t xml:space="preserve">3. </w:t>
      </w:r>
      <w:r>
        <w:rPr>
          <w:rFonts w:ascii="Calibri" w:hAnsi="Calibri"/>
          <w:b w:val="0"/>
          <w:color w:val="3A4A28"/>
          <w:sz w:val="20"/>
        </w:rPr>
        <w:t>Renewable diesel feedstock demand — growing renewable fuel mandates increase demand for soybean oil and other vegetable oils, positioning Bunge's expanded crush capacity as a structural beneficiary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compression — profit margin of 1.16% provides no cushion; a further 50bps decline in agricultural processing margins could eliminate profitability entirely on $70B revenue [1][6]</w:t>
      </w:r>
    </w:p>
    <w:p>
      <w:pPr>
        <w:spacing w:before="40" w:after="40"/>
        <w:ind w:left="283"/>
      </w:pPr>
      <w:r>
        <w:rPr>
          <w:rFonts w:ascii="Calibri" w:hAnsi="Calibri"/>
          <w:b/>
          <w:color w:val="4A6B25"/>
          <w:sz w:val="20"/>
        </w:rPr>
        <w:t xml:space="preserve">2. </w:t>
      </w:r>
      <w:r>
        <w:rPr>
          <w:rFonts w:ascii="Calibri" w:hAnsi="Calibri"/>
          <w:b w:val="0"/>
          <w:color w:val="3A4A28"/>
          <w:sz w:val="20"/>
        </w:rPr>
        <w:t>Deforestation and supply chain ESG controversy — Global Witness, NGOs, and major customers (Walmart, Tesco, Unilever) have pressured Bunge on Cerrado deforestation; failure to resolve creates regulatory and customer-loss risk [4][5]</w:t>
      </w:r>
    </w:p>
    <w:p>
      <w:pPr>
        <w:spacing w:before="40" w:after="40"/>
        <w:ind w:left="283"/>
      </w:pPr>
      <w:r>
        <w:rPr>
          <w:rFonts w:ascii="Calibri" w:hAnsi="Calibri"/>
          <w:b/>
          <w:color w:val="4A6B25"/>
          <w:sz w:val="20"/>
        </w:rPr>
        <w:t xml:space="preserve">3. </w:t>
      </w:r>
      <w:r>
        <w:rPr>
          <w:rFonts w:ascii="Calibri" w:hAnsi="Calibri"/>
          <w:b w:val="0"/>
          <w:color w:val="3A4A28"/>
          <w:sz w:val="20"/>
        </w:rPr>
        <w:t>Viterra integration execution — negative $7.1B FCF in 2025 and below-consensus 2026 guidance suggest integration costs are higher than expected; D/E of 91% limits balance sheet flexibility during the integration period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Bunge's core business — originating, transporting, processing, and distributing physical agricultural commodities — is structurally immune to AI disruption. You cannot digitize soybean crushing, grain logistics, or crop origination from millions of farmers across 40 countries [1]. The business requires massive physical infrastructure (processing plants, port facilities, storage elevators) and deeply embedded supply chain relationships that AI cannot replicate. AI may improve demand forecasting and logistics optimization, but these are efficiency tools, not substitution risks. Analysts have not flagged AI as a risk for agricultural commodity processors. AI Opportunity (1/1): Bunge is deploying data analytics and technology across its supply chain for operational efficiency, and the Viterra integration creates opportunities for AI-driven supply chain optimization across the combined global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Bunge Global Q4 2025 Earnings Release — $70.3B revenue (75.5% YoY), $816M net income, $7.50–$8.00 2026 EPS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Bunge Global CEO Greg Heckman — 7-year tenure, Viterra merger execution, innovation and technology strategy</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Bunge Limited 3.7/5 rating, 74% recommendation rate,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Global Witness Report — Bunge supply chain links to Cerrado deforestation and human rights abuses in Brazil</w:t>
      </w:r>
    </w:p>
    <w:p>
      <w:pPr>
        <w:spacing w:before="20" w:after="20"/>
        <w:ind w:left="170"/>
      </w:pPr>
      <w:r>
        <w:rPr>
          <w:rFonts w:ascii="Calibri" w:hAnsi="Calibri"/>
          <w:b/>
          <w:color w:val="4A6B25"/>
          <w:sz w:val="15"/>
        </w:rPr>
        <w:t xml:space="preserve">5. </w:t>
      </w:r>
      <w:r>
        <w:rPr>
          <w:rFonts w:ascii="Calibri" w:hAnsi="Calibri"/>
          <w:b w:val="0"/>
          <w:color w:val="3A4A28"/>
          <w:sz w:val="17"/>
        </w:rPr>
        <w:t>NGO Coalition — Pressure on Bunge for stronger deforestation measures, Cerrado Manifesto rejection, palm oil sourcing concerns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BG (Bunge Global SA),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