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BHC</w:t>
      </w:r>
      <w:r>
        <w:rPr>
          <w:rFonts w:ascii="Calibri" w:hAnsi="Calibri"/>
          <w:b/>
          <w:color w:val="1A2010"/>
          <w:sz w:val="40"/>
        </w:rPr>
        <w:t xml:space="preserve">  Bausch Health Companies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Drug Manufacturers - Specialty &amp; Generic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Bausch Health Companies (formerly Valeant Pharmaceuticals) develops, manufactures, and markets pharmaceuticals across gastroenterology (Salix), aesthetics (Solta), international generics, and dermatology, plus an 88% stake in Bausch + Lomb (eye health). Under CEO Thomas Appio (since May 2022), the company is focused on debt deleveraging while exploring monetization of the Bausch + Lomb stake.</w:t>
      </w:r>
    </w:p>
    <w:p>
      <w:r>
        <w:rPr>
          <w:rFonts w:ascii="Calibri" w:hAnsi="Calibri"/>
          <w:b/>
          <w:color w:val="6E8450"/>
          <w:sz w:val="18"/>
        </w:rPr>
        <w:t>19,200 Employees · https://www.bauschhealth.com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(1/3): The successful Bausch + Lomb IPO (2022) and 11 consecutive quarters of revenue growth ex-B+L [1] show operational consistency, but no transformative product launches. Salix's Xifaxan remains the primary growth engine and faces a known patent cliff. AI Deployment (1/2): Bausch + Lomb is partnering with City Therapeutics on siRNA discovery for AMD/geographic atrophy [3]; AI is not deeply embedded in core BHC pharma operations. Market Share Leadership (1/2): Salix holds the dominant position in IBS-D/HE with Xifaxan; B+L is a top-3 global eye-health player. Product Pipeline (1/2): Specific late-stage assets (XIPERE, Miebo eye drops, Solta Vivace) are in market or near-launch but lack blockbuster scale to offset Xifaxan loss-of-exclusivity risk. R&amp;D Intensity (0/1): R&amp;D as percent of revenue is below large-cap pharma peers — BHC is a specialty operator, not a discovery house.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Bausch Health's purpose statement — 'improving people's lives through our health care products' — is clear but generic for the pharmaceutical industry. Community Impact (1/2): Bausch Foundation programs and significant ophthalmology charitable initiatives via Bausch + Lomb provide community impact. Employee Retention (0/2): No specific tenure data available. The Valeant-era brand damage is largely past but the company is still rebuilding cultural identity. Insider Buying (1/2): CEO Thomas Appio's compensation is heavily PSU-weighted with deleveraging and TSR triggers [2], aligning him with shareholders, though no notable open-market buying surfaced.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 calculation on Growth-stock weights, with adjustments for distorted metrics. D/E 5591% (extreme, well above 300% floor, 0.0) — total debt of $20.2B against thin equity [1]. ROE 436% reported (yfinance) is distorted by impaired equity base — mechanically scores 1.0 (2x weight) but the underlying capital is structurally weak; treat as neutral. Revenue growth YoY 9.3% (just below 10% target, score = 0.98). Revenue growth 5yr CAGR ~-1% post-B+L spin (score = 0.27, 2x weight). Forward P/E 1.42 (well below 20 target, 1.0) — extreme low multiple reflects debt risk pricing. Profit margin 1.53% (between 0 and 20%, score = 0.08). Forward PEG very low given depressed forward P/E (score = 1.0, 2x weight). Weighted sum: 0+2+0.98+0.54+1.0+0.08+2.0 = 6.6 → mechanically 7. Adjusted to 4 reflecting the dominant role of the $20.2B debt overhang and impaired equity. Liquidity: 2.1M × $5.72 = $12M (passes). Refinancing reduced near-term obligations to &lt;$700M through 2027 [1] but the long-term burden remains.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Bausch Health is mid-recovery from the Valeant-era serial-acquisition / debt blowup and is now focused on disciplined deleveraging and operational growth under Thomas Appio. Eleven consecutive quarters of revenue growth ex-B+L [1] support a 'mixed' rather than 'finite' designation, but the long-term Just Cause is muddled by ongoing strategic ambiguity around the Bausch + Lomb monetization.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Mission to 'improve people's lives' is generic. Strategic narrative has zigzagged for a decade — from Valeant roll-up to B+L IPO to monetization talk. Lacks the consistency Sinek demands.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Thomas Appio's stable tenure since May 2022 [2] and a settled executive team have been a meaningful improvement after the Valeant-era turbulence. Specific retention data not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notable management commentary acknowledging competitor strengths or framing competition as a learning relationship.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Spinning out Bausch + Lomb in 2022 was a meaningful business-model pivot. The contemplated full B+L monetization would be a more transformative shift, but the company has been moving slowly and remains optionality-driven.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has made the painful but right calls — IPO'd Bausch + Lomb in 2022, executed $9.6B refinancing in 2025 to push near-term maturities below $700M through 2027 [1], and resisted desperate M&amp;A. Significant courage demonstrated by deleveraging rather than financial engineering.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Bausch Health is a deep-value deleveraging story with operational momentum. The company posted 2025 revenue of $10.27B (+7%) and adjusted EBITDA of $3.54B (+7%), exceeding guidance, with 11 consecutive quarters of revenue and EBITDA growth excluding Bausch + Lomb [1]. Salix grew 11% to $2.58B led by Xifaxan, and the $9.6B refinancing program reduced near-term debt obligations to below $700M through 2027 [1]. With BHC trading at a forward P/E of 1.4 and an 88% stake in publicly-listed Bausch + Lomb, sum-of-the-parts math suggests meaningful upside if management can execute B+L monetization at a fair price.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the $20.2B total debt obligation against impaired equity and a Xifaxan patent cliff that will compress Salix earnings starting later this decade. ROE of 436% and D/E of 5591% are mathematical artifacts of the impaired capital structure rather than signs of strength — a single operating stumble or rate spike would re-price the credit. The B+L monetization is the make-or-break catalyst: a low-priced sale or a delayed transaction would leave BHC stranded with a melting Salix franchise and unsustainable leverage. AI-driven generic discovery [3] is a long-term tail risk to specialty pharma economics. This is an option-like equity for risk-tolerant investors only.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Bausch + Lomb monetization at a value-accretive price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Salix revenue growth and Xifaxan duration extension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deleveraging — refinancing the remaining 2028+ maturities at lower coupons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$20.2B total debt obligation against thin equity creates extreme financial leverage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Xifaxan patent cliff and generic competition will compress Salix earnings later this decade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Bausch + Lomb monetization could occur at a depressed price if eye-health sector valuations weaken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Bausch's specialty pharma model is moderately protected from AI substitution — manufacturing, regulatory approvals, and physician detailing remain hardware/relationship driven. However, AI-native drug discovery platforms (Isomorphic, Recursion) are accelerating generic competition by lowering R&amp;D costs and shortening discovery timelines [3], indirectly pressuring BHC's specialty pharma franchises. The Xifaxan patent cliff timeline is the bigger risk than AI per se. AI Opportunity (1/1): Bausch + Lomb has an exclusive eye-care partnership with City Therapeutics applying siRNA discovery technology [3], qualifying for the tiebreaker.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Bausch Health Q4 and Full-Year 2025 Results, February 18, 2026 (PRNewswire / Motley Fool transcript)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Thomas Appio CEO bio and executive compensation — bauschhealth.com / fintool.com,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Brent Saunders / Bausch + Lomb partnership with City Therapeutics on siRNA — PharmExec / DrugDiscoveryTrends, 2025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