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BHP</w:t>
      </w:r>
      <w:r>
        <w:rPr>
          <w:rFonts w:ascii="Calibri" w:hAnsi="Calibri"/>
          <w:b/>
          <w:color w:val="1A2010"/>
          <w:sz w:val="40"/>
        </w:rPr>
        <w:t xml:space="preserve">  BHP Group Limited</w:t>
      </w:r>
    </w:p>
    <w:p>
      <w:pPr>
        <w:spacing w:after="120"/>
      </w:pPr>
      <w:r>
        <w:rPr>
          <w:rFonts w:ascii="Calibri" w:hAnsi="Calibri"/>
          <w:b/>
          <w:color w:val="6E8450"/>
          <w:sz w:val="18"/>
        </w:rPr>
        <w:t>DIVIDEND SLEEVE · 2026-04-01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Other Industrial Metals &amp; Mining · NYSE · Australia</w:t>
      </w:r>
    </w:p>
    <w:p>
      <w:pPr>
        <w:spacing w:after="80"/>
      </w:pPr>
      <w:r>
        <w:rPr>
          <w:rFonts w:ascii="Calibri" w:hAnsi="Calibri"/>
          <w:b w:val="0"/>
          <w:color w:val="3A4A28"/>
          <w:sz w:val="20"/>
        </w:rPr>
        <w:t>BHP Group is the world's largest diversified mining company, operating across Copper, Iron Ore, and Coal segments with operations in Australia, the Americas, and globally. The company mines copper, iron ore, metallurgical and energy coal, nickel, uranium, gold, zinc, and potash, and is strategically pivoting toward future-facing commodities — particularly copper — to capture AI-driven electricity and electrification demand.</w:t>
      </w:r>
    </w:p>
    <w:p>
      <w:r>
        <w:rPr>
          <w:rFonts w:ascii="Calibri" w:hAnsi="Calibri"/>
          <w:b/>
          <w:color w:val="6E8450"/>
          <w:sz w:val="18"/>
        </w:rPr>
        <w:t>39,369 Employees · https://www.bhp.com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BHP's strategic pivot from petroleum (divested 2022) to copper and potash represents meaningful portfolio transformation, with copper now surpassing iron ore as the largest earnings contributor (51% of H1 FY2026 underlying operating earnings) [1]. However, mining is inherently a commodity extraction business with limited product innovation. AI Deployment (2/2): BHP's digital and analytics initiatives have delivered over US$2B in value across the last four financial years, with a dedicated AI Hub in Singapore, computer vision for conveyor monitoring, and generative AI tools for converting unstructured geological data into usable datasets [2]. Market Share (1/2): BHP is the world's largest mining company by market cap, the largest iron ore producer with record H1 production, and a top-5 global copper producer with 30% production growth over four years [1]. Pipeline (1/2): Jansen Stage 1 potash project targeting first production mid-CY2027 (~$1B annual EBITDA per stage), copper production guided to 2.5Mt by mid-2030s (3-4% CAGR copper-equivalent growth through 2035) [1]. R&amp;D Intensity (0/1): Mining sector R&amp;D intensity is structurally low relative to technology or pharma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BHP's purpose — 'To bring people and resources together to build a better world' — is specific, thoughtful, and connects mining to societal progress. CEO Mike Henry's strategic realignment around decarbonization, copper for electrification, and social responsibility validates the purpose through action [2]. The mission has guided divestiture of petroleum and investment in future-facing commodities. Community Impact (1/2): BHP, Vale, and Samarco have provided US$13.4B in reparation and compensation to 610,000+ people affected by the Fundão dam collapse, with resettlement 98% complete [3]. BHP also operates community development programs globally, but the Samarco disaster remains a significant ESG liability. Employee Retention (1/2): Mike Henry's stable 6-year tenure as CEO, BHP Operating System (BOS) creating standardized operational culture, and upcoming potential first female CEO (Geraldine Slattery) suggest organizational stability [2]. Insider Buying (1/2): 60% H1 FY2026 payout ratio with interim dividend of 73 cents (ahead of estimates) signals management conviction, and $70B+ in shareholder returns under Henry's leadership demonstrates capital allocation alignment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BHP's financial profile is among the strongest in global mining. D/E of 52.6% with $13.5B cash against $29.2B debt supports investment-grade credit ratings [4]. ROE of 24.7% and profit margin of 19.0% are excellent for a commodity producer, driven by world-lowest-cost iron ore ($19.41/t unit cost) and copper margins exceeding 60% [1]. Revenue growth of 10.8% YoY and forward P/E of 14.2x offer compelling value. H1 FY2026 underlying profit rose 22% to $6.2B, beating consensus [1]. Dividend yield of 3.66% with a 54.6% payout ratio and 30+ years of dividend payments anchor the income thesis. The 5yr revenue CAGR of ~3.6% reflects commodity price cyclicality rather than structural weakness. Liquidity floor easily cleared at $323M average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BHP demonstrates strong infinite-game characteristics under Mike Henry's leadership. The petroleum divestiture, copper pivot, and $32B Samarco settlement reflect a company willing to make painful decisions for long-term positioning. The 170-year operating history and 'build a better world' purpose provide continuity, though the Fundão dam disaster exposed a gap between purpose and execution that continues to haunt the company.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BHP's purpose — 'To bring people and resources together to build a better world' — is genuine and has been partially validated by strategic decisions: divesting petroleum assets to focus on future-facing commodities, investing $32B in Samarco remediation, and targeting copper for electrification and AI infrastructure [1][2]. The 170+ year history demonstrates endurance. However, the Fundão dam disaster killing 19 people and devastating 668km of waterways reveals that the purpose was not fully lived in operational oversight, preventing a perfect score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BHP's Operating System (BOS) creates standardized operational culture across 39,000+ employees, and leadership stability (Henry's 6-year tenure, upcoming planned succession) suggests organizational health [2]. The potential appointment of Geraldine Slattery as BHP's first female CEO signals inclusive leadership. However, mining operations inherently involve hierarchical command structures, and the Samarco disaster highlighted gaps in operational oversight at the joint venture level.</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BHP explicitly benchmarks against Rio Tinto, Glencore, and Freeport-McMoRan, using competitive dynamics to drive operational improvement rather than market share destruction [1][2]. The company's language focuses on 'lowest cost producer' and 'operational excellence' rather than 'beating' competitors. BHP's copper pivot was informed by observing Freeport-McMoRan's copper focus and Rio Tinto's strategic shifts.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BHP's 2022 petroleum divestiture (merging with Woodside) was a significant strategic pivot — walking away from a profitable business to concentrate on future-facing commodities [1]. The copper pivot (now 51% of earnings, up from ~30%) and Jansen potash investment represent meaningful strategic evolution. These pivots were driven by the company's view of the energy transition, connecting back to purpose. However, the core business model (commodity extraction) has not fundamentally changed.</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BHP demonstrates a pattern of courageous decisions under Henry. The petroleum divestiture walked away from profitable oil assets when the market questioned the decision [1]. The $32B Samarco settlement was the right thing to do despite massive financial impact [3]. Investing in Jansen potash ($12.5B project) during uncertain commodity cycles, and raising copper guidance while iron ore faces supply pressure, show willingness to sacrifice near-term certainty for long-term capability. The 73-cent interim dividend exceeding estimates by 16% shows confidence in cash generation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BHP is the world's largest diversified miner executing a generational pivot toward copper — now 51% of operating earnings — at a time when AI data center construction and global electrification are creating structural copper demand that supply cannot match (150,000-tonne deficit projected for 2026) [1]. H1 FY2026 underlying profit rose 22% to $6.2B, copper EBITDA surged 59% to $8B on 32% higher realized prices, and interim dividend of 73 cents beat consensus by 16% [1]. At 14.2x forward P/E with 3.66% dividend yield, 24.7% ROE, and $19.7B operating cash flow, BHP offers compelling value for the AI infrastructure theme at a fraction of the valuation of semiconductor or cloud plays. The Jansen potash project ($1B annual EBITDA per stage, first production mid-CY2027) provides a diversification catalyst beyond metals [1].</w:t>
      </w:r>
    </w:p>
    <w:p>
      <w:pPr>
        <w:spacing w:after="120"/>
      </w:pPr>
      <w:r>
        <w:rPr>
          <w:rFonts w:ascii="Calibri" w:hAnsi="Calibri"/>
          <w:b w:val="0"/>
          <w:color w:val="3A4A28"/>
          <w:sz w:val="20"/>
        </w:rPr>
        <w:t>The bear case centers on commodity cyclicality and legal liability. Iron ore prices face secular pressure as global supply grows, and BHP's $19.41/t unit cost rose 7% in H1 — cost inflation could compress margins if prices decline [1]. The Fundão dam disaster liability remains open, with UK claimants seeking £36B ($47B) in damages — the November 2025 liability ruling means only the quantum of damages remains to be determined, and an adverse outcome could dwarf the $32B Brazilian settlement [3]. China's economic trajectory directly impacts iron ore demand, and any slowdown in Chinese steel production would pressure BHP's largest revenue source. Revenue 5yr CAGR of 3.6% reflects commodity price volatility rather than structural growth, and the dividend is not immune to cuts (BHP cut dividends in 2016 during the commodity downturn). Copper price sustainability above $4/lb is not guaranteed if global recession materializes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Copper production growth to 2.5Mt by mid-2030s (3-4% CAGR) as AI-driven electricity demand creates structural supply deficit of 150,000+ tonnes in 2026 [1]</w:t>
      </w:r>
    </w:p>
    <w:p>
      <w:pPr>
        <w:spacing w:before="40" w:after="40"/>
        <w:ind w:left="283"/>
      </w:pPr>
      <w:r>
        <w:rPr>
          <w:rFonts w:ascii="Calibri" w:hAnsi="Calibri"/>
          <w:b/>
          <w:color w:val="4A6B25"/>
          <w:sz w:val="20"/>
        </w:rPr>
        <w:t xml:space="preserve">2. </w:t>
      </w:r>
      <w:r>
        <w:rPr>
          <w:rFonts w:ascii="Calibri" w:hAnsi="Calibri"/>
          <w:b w:val="0"/>
          <w:color w:val="3A4A28"/>
          <w:sz w:val="20"/>
        </w:rPr>
        <w:t>Jansen Stage 1 potash project targeting first production mid-CY2027, potentially adding ~$1B annual EBITDA and diversifying beyond metals [1]</w:t>
      </w:r>
    </w:p>
    <w:p>
      <w:pPr>
        <w:spacing w:before="40" w:after="40"/>
        <w:ind w:left="283"/>
      </w:pPr>
      <w:r>
        <w:rPr>
          <w:rFonts w:ascii="Calibri" w:hAnsi="Calibri"/>
          <w:b/>
          <w:color w:val="4A6B25"/>
          <w:sz w:val="20"/>
        </w:rPr>
        <w:t xml:space="preserve">3. </w:t>
      </w:r>
      <w:r>
        <w:rPr>
          <w:rFonts w:ascii="Calibri" w:hAnsi="Calibri"/>
          <w:b w:val="0"/>
          <w:color w:val="3A4A28"/>
          <w:sz w:val="20"/>
        </w:rPr>
        <w:t>Potential CEO succession to Geraldine Slattery (first female CEO in 170+ year history) could refresh strategy and attract ESG-focused capital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UK Fundão dam liability — claimants seeking £36B ($47B) after November 2025 liability ruling, damages phase could result in material additional cost beyond $32B Brazilian settlement [3]</w:t>
      </w:r>
    </w:p>
    <w:p>
      <w:pPr>
        <w:spacing w:before="40" w:after="40"/>
        <w:ind w:left="283"/>
      </w:pPr>
      <w:r>
        <w:rPr>
          <w:rFonts w:ascii="Calibri" w:hAnsi="Calibri"/>
          <w:b/>
          <w:color w:val="4A6B25"/>
          <w:sz w:val="20"/>
        </w:rPr>
        <w:t xml:space="preserve">2. </w:t>
      </w:r>
      <w:r>
        <w:rPr>
          <w:rFonts w:ascii="Calibri" w:hAnsi="Calibri"/>
          <w:b w:val="0"/>
          <w:color w:val="3A4A28"/>
          <w:sz w:val="20"/>
        </w:rPr>
        <w:t>Iron ore price risk from growing global supply and China economic deceleration — 7% unit cost increase in H1 FY2026 compresses margins if prices fall [1]</w:t>
      </w:r>
    </w:p>
    <w:p>
      <w:pPr>
        <w:spacing w:before="40" w:after="40"/>
        <w:ind w:left="283"/>
      </w:pPr>
      <w:r>
        <w:rPr>
          <w:rFonts w:ascii="Calibri" w:hAnsi="Calibri"/>
          <w:b/>
          <w:color w:val="4A6B25"/>
          <w:sz w:val="20"/>
        </w:rPr>
        <w:t xml:space="preserve">3. </w:t>
      </w:r>
      <w:r>
        <w:rPr>
          <w:rFonts w:ascii="Calibri" w:hAnsi="Calibri"/>
          <w:b w:val="0"/>
          <w:color w:val="3A4A28"/>
          <w:sz w:val="20"/>
        </w:rPr>
        <w:t>Commodity cyclicality — BHP cut dividends in 2016, and a global recession could repeat this pattern despite current 3.66% yield and 60% payout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BHP is IMMUNE to AI disruption and is a direct beneficiary — AI data centers require massive amounts of copper for power infrastructure, and electrification trends driven by AI increase demand for BHP's core commodities [1]. Physical mining operations cannot be replaced by software. The copper deficit projected at 150,000 tonnes in 2026 reflects structural demand growth from AI power consumption [1]. Iron ore and metallurgical coal for steel production are similarly AI-immune physical commodity businesses. AI Opportunity (1/1): BHP generates quantifiable value from AI deployment — over US$2B in value from digital/analytics initiatives across four years, with the Singapore AI Hub, computer vision systems, and generative AI tools for geological data processing actively contributing to operational efficiency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BHP H1 FY2026 Results — $6.2B profit, 22% growth, copper 51% of earnings, 73-cent interim dividend, February 2026</w:t>
      </w:r>
    </w:p>
    <w:p>
      <w:pPr>
        <w:spacing w:before="20" w:after="20"/>
        <w:ind w:left="170"/>
      </w:pPr>
      <w:r>
        <w:rPr>
          <w:rFonts w:ascii="Calibri" w:hAnsi="Calibri"/>
          <w:b/>
          <w:color w:val="4A6B25"/>
          <w:sz w:val="15"/>
        </w:rPr>
        <w:t xml:space="preserve">2. </w:t>
      </w:r>
      <w:r>
        <w:rPr>
          <w:rFonts w:ascii="Calibri" w:hAnsi="Calibri"/>
          <w:b w:val="0"/>
          <w:color w:val="3A4A28"/>
          <w:sz w:val="17"/>
        </w:rPr>
        <w:t>BHP corporate website, Russell Reynolds, Klover.ai — AI Hub Singapore, $2B+ digital value, CEO Mike Henry leadership, March 2026</w:t>
      </w:r>
    </w:p>
    <w:p>
      <w:pPr>
        <w:spacing w:before="20" w:after="20"/>
        <w:ind w:left="170"/>
      </w:pPr>
      <w:r>
        <w:rPr>
          <w:rFonts w:ascii="Calibri" w:hAnsi="Calibri"/>
          <w:b/>
          <w:color w:val="4A6B25"/>
          <w:sz w:val="15"/>
        </w:rPr>
        <w:t xml:space="preserve">3. </w:t>
      </w:r>
      <w:r>
        <w:rPr>
          <w:rFonts w:ascii="Calibri" w:hAnsi="Calibri"/>
          <w:b w:val="0"/>
          <w:color w:val="3A4A28"/>
          <w:sz w:val="17"/>
        </w:rPr>
        <w:t>PBS, Al Jazeera, Law Gazette — UK High Court finds BHP liable for Fundão dam collapse, £36B claim, November 2025</w:t>
      </w:r>
    </w:p>
    <w:p>
      <w:pPr>
        <w:spacing w:before="20" w:after="20"/>
        <w:ind w:left="170"/>
      </w:pPr>
      <w:r>
        <w:rPr>
          <w:rFonts w:ascii="Calibri" w:hAnsi="Calibri"/>
          <w:b/>
          <w:color w:val="4A6B25"/>
          <w:sz w:val="15"/>
        </w:rPr>
        <w:t xml:space="preserve">4. </w:t>
      </w:r>
      <w:r>
        <w:rPr>
          <w:rFonts w:ascii="Calibri" w:hAnsi="Calibri"/>
          <w:b w:val="0"/>
          <w:color w:val="3A4A28"/>
          <w:sz w:val="17"/>
        </w:rPr>
        <w:t>yfinance data for BHP — $188B market cap, D/E 52.6%, ROE 24.7%, retrieved April 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