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BIAF</w:t>
      </w:r>
      <w:r>
        <w:rPr>
          <w:rFonts w:ascii="Calibri" w:hAnsi="Calibri"/>
          <w:b/>
          <w:color w:val="1A2010"/>
          <w:sz w:val="40"/>
        </w:rPr>
        <w:t xml:space="preserve">  bioAffinity Technologies, Inc.</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bioAffinity Technologies develops non-invasive diagnostic tests to detect early-stage lung cancer and other lung diseases using proprietary flow cytometry and artificial intelligence. Its flagship product, CyPath Lung, uses a fluorescent porphyrin preferentially absorbed by cancer cells combined with AI-driven analysis to identify malignancy in patient sputum samples. The company is expanding into companion diagnostics for asthma and COPD.</w:t>
      </w:r>
    </w:p>
    <w:p>
      <w:r>
        <w:rPr>
          <w:rFonts w:ascii="Calibri" w:hAnsi="Calibri"/>
          <w:b/>
          <w:color w:val="6E8450"/>
          <w:sz w:val="18"/>
        </w:rPr>
        <w:t>57 Employees · https://bioaffinitytech.com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bioAffinity commercially launched CyPath Lung, achieving 87% revenue growth from the diagnostic in 2025 with test volumes up 99% YoY, and physician ordering locations growing 67% [1]. However, the company remains pre-scale with only $6.1M total revenue. AI Deployment (1/2): CyPath Lung integrates proprietary AI algorithms with flow cytometry to analyze cell populations in sputum samples, delivering 92% sensitivity, 87% specificity, and 88% accuracy in detecting lung cancer in high-risk patients with small indeterminate nodules under 20mm [3]. The AI is core to the product, not an add-on. Market Share (0/2): bioAffinity is a micro-cap company ($18M market cap) with 57 employees and $6.1M revenue, holding negligible market share in the $4B+ pulmonary diagnostics market. Pipeline (1/2): Initiated a 2,000-patient longitudinal clinical study across 17 VA, military, academic, and private medical centers in March 2026, with expansion into asthma/COPD companion diagnostics presented at AAAAI 2026 [1]. R&amp;D Intensity (0/1): No evidence of above-average R&amp;D spending relative to diagnostic peers; the company's $6.1M revenue base makes meaningful R&amp;D intensity difficult to assess.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bioAffinity's mission to 'detect and treat cancer at the cellular level' with non-invasive diagnostics that spare patients from costly, invasive biopsies reflects genuine intentionality — a case study showed CyPath Lung helping a patient avoid unnecessary invasive procedures [3]. The purpose connects the company's technology to a clear human benefit and differentiates from generic diagnostic companies. Community Impact (1/2): CEO Maria Zannes serves on the American Lung Association in Texas' Leadership Board, demonstrating personal alignment between the company's mission and broader lung health advocacy [2]. Employee Retention (0/2): No retention data available for this 57-person company.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bioAffinity has a clean balance sheet with D/E of just 16.0% and raised $16.9M to strengthen liquidity [1]. However, profitability is deeply negative: -242% profit margin and -302% ROE on $6.1M total revenue, reflecting a company still in commercial ramp [1]. The -27.8% YoY revenue decline is misleading — CyPath Lung revenue grew 87%, but the company strategically discontinued unprofitable pathology services that comprised a larger share of the prior year's $9.4M total [1]. Forward P/E is negative (pre-profit), and EBIT margin of -216% highlights burn rate. 2026 guidance projects CyPath Lung unit sales to more than double over 2025 levels [1]. Liquidity floor passes: 7.3M avg volume x $4.00 = $29.2M daily (though volume is inflated by recent 120%+ stock surge).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bioAffinity demonstrates purpose-driven leadership under CEO Maria Zannes with a genuine mission to improve lung cancer detection, and the strategic exit from pathology services to focus on CyPath Lung showed courage. However, the company is too early-stage and small (57 employees) to have been meaningfully tested on most infinite game dimensions, and the immediate focus on survival and commercial scaling naturally creates short-term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bioAffinity's purpose of detecting cancer non-invasively to spare patients from unnecessary biopsies connects the company's work to something genuinely bigger than profit. CEO Zannes' service on the American Lung Association Leadership Board validates personal commitment to the cause [2]. Case studies showing patients avoiding invasive procedures demonstrate the cause in action [3]. However, the company is too young to have proven the cause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57 employees, bioAffinity operates as a small, mission-driven team. The company retained its core scientific team while growing from near-zero to commercial operations, and the former Amazon AI executive (Dougherty) chose to join a micro-cap biotech — suggesting the mission attracts talent [2]. However, no specific retention data, tenure metrics, or cultural evidence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bioAffinity's leadership frames competition as an opportunity for self-improvement. The company's positioning emphasizes its unique technology (CAB flow cytometry) rather than acknowledging competitors' strengths. In a niche market for non-invasive lung cancer diagnostics, the competitive landscape is sparse but includes liquid biopsy players like Guardant Health and Biodesix.</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bioAffinity is too young and small to have faced the existential flexibility test. The company has pivoted from unprofitable pathology services to focus exclusively on CyPath Lung, but this was a sensible early-stage strategic refinement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decision to discontinue unprofitable pathology services — which caused a 34% total revenue decline — to focus resources on CyPath Lung demonstrates willingness to sacrifice near-term revenue for long-term positioning [1]. Initiating a 2,000-patient clinical trial across 17 centers while running a $5M annual burn rate shows conviction in the product's clinical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bioAffinity Technologies is an early-stage AI-enabled diagnostics company with a differentiated product in CyPath Lung — a non-invasive test with 92% sensitivity and 87% specificity for detecting early-stage lung cancer in patients with indeterminate pulmonary nodules [3]. The addressable market is large and growing: 2.9M indeterminate nodules detected annually in the U.S., projected to reach 4.7M by 2030 as CT screening expands [1]. CyPath Lung revenue grew 87% in 2025 with test volumes up 99%, physician ordering sites grew 67%, and 2026 guidance calls for unit sales to more than double [1]. The 2,000-patient longitudinal study across 17 medical centers could provide the clinical evidence needed for broader payer coverage and guideline inclusion. At $18M market cap, the stock offers significant upside if commercialization scales and the clinical trial succeeds.</w:t>
      </w:r>
    </w:p>
    <w:p>
      <w:pPr>
        <w:spacing w:after="120"/>
      </w:pPr>
      <w:r>
        <w:rPr>
          <w:rFonts w:ascii="Calibri" w:hAnsi="Calibri"/>
          <w:b w:val="0"/>
          <w:color w:val="3A4A28"/>
          <w:sz w:val="20"/>
        </w:rPr>
        <w:t>The bear case is survival risk. bioAffinity has only $6.1M in total revenue, a -242% profit margin, and burns approximately $5M annually in cash [1]. The $16.9M capital raise provides runway, but the company will likely need additional financing to fund the 2,000-patient clinical trial and commercial expansion simultaneously. The 120%+ stock surge in March 2026 was driven by the revenue announcement and creates volatility risk for new investors. With only 57 employees and a single commercial product, execution risk is extreme — any setback in the clinical trial, payer coverage decisions, or sales force expansion could be existential. Average daily volume of 7.3M shares appears inflated by the recent stock surge; normalized liquidity may be significantly lower. The company's micro-cap status ($18M) means institutional investors cannot meaningfully participate, limiting price discovery and creating manipulation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2,000-patient longitudinal clinical study across 17 VA, military, academic, and private medical centers — enrollment initiated March 2026 with potential to drive guideline inclusion and payer coverage [1]</w:t>
      </w:r>
    </w:p>
    <w:p>
      <w:pPr>
        <w:spacing w:before="40" w:after="40"/>
        <w:ind w:left="283"/>
      </w:pPr>
      <w:r>
        <w:rPr>
          <w:rFonts w:ascii="Calibri" w:hAnsi="Calibri"/>
          <w:b/>
          <w:color w:val="4A6B25"/>
          <w:sz w:val="20"/>
        </w:rPr>
        <w:t xml:space="preserve">2. </w:t>
      </w:r>
      <w:r>
        <w:rPr>
          <w:rFonts w:ascii="Calibri" w:hAnsi="Calibri"/>
          <w:b w:val="0"/>
          <w:color w:val="3A4A28"/>
          <w:sz w:val="20"/>
        </w:rPr>
        <w:t>CyPath Lung unit sales projected to more than double in 2026, with physician ordering locations expanding into new geographic markets [1]</w:t>
      </w:r>
    </w:p>
    <w:p>
      <w:pPr>
        <w:spacing w:before="40" w:after="40"/>
        <w:ind w:left="283"/>
      </w:pPr>
      <w:r>
        <w:rPr>
          <w:rFonts w:ascii="Calibri" w:hAnsi="Calibri"/>
          <w:b/>
          <w:color w:val="4A6B25"/>
          <w:sz w:val="20"/>
        </w:rPr>
        <w:t xml:space="preserve">3. </w:t>
      </w:r>
      <w:r>
        <w:rPr>
          <w:rFonts w:ascii="Calibri" w:hAnsi="Calibri"/>
          <w:b w:val="0"/>
          <w:color w:val="3A4A28"/>
          <w:sz w:val="20"/>
        </w:rPr>
        <w:t>Expansion beyond lung cancer into companion diagnostics for asthma and COPD, leveraging the same flow cytometry and AI platform — data presented at AAAAI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Survival risk — $6.1M revenue against ~$15M annual losses requires continued capital raises that could dilute shareholders significantly [1]</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 CyPath Lung is the only commercial product, making the company entirely dependent on one diagnostic's commercial adoption and clinical validation [1]</w:t>
      </w:r>
    </w:p>
    <w:p>
      <w:pPr>
        <w:spacing w:before="40" w:after="40"/>
        <w:ind w:left="283"/>
      </w:pPr>
      <w:r>
        <w:rPr>
          <w:rFonts w:ascii="Calibri" w:hAnsi="Calibri"/>
          <w:b/>
          <w:color w:val="4A6B25"/>
          <w:sz w:val="20"/>
        </w:rPr>
        <w:t xml:space="preserve">3. </w:t>
      </w:r>
      <w:r>
        <w:rPr>
          <w:rFonts w:ascii="Calibri" w:hAnsi="Calibri"/>
          <w:b w:val="0"/>
          <w:color w:val="3A4A28"/>
          <w:sz w:val="20"/>
        </w:rPr>
        <w:t>Payer coverage uncertainty — without inclusion in clinical practice guidelines or broad insurance coverage, CyPath Lung adoption may plateau at early-adopter physicians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bioAffinity's diagnostic business is structurally immune to AI disruption in its core value chain. CyPath Lung requires physical patient sputum samples processed through laboratory-grade flow cytometry equipment — AI cannot replace the physical specimen collection, processing, and cell analysis that form the product's foundation [3]. The diagnostic operates in a regulated environment requiring CLIA laboratory certification and clinical validation studies. AI actually enhances the product: the company's proprietary AI algorithms analyze flow cytometry data to identify cancer cell populations with 92% sensitivity [3]. The indeterminate pulmonary nodule market is projected to grow 62% from 2.9M to 4.7M cases by 2030, driven by increased CT lung cancer screening — a tailwind from AI-improved imaging that generates more nodules requiring further workup [1]. AI Opportunity (1/1): AI is integral to CyPath Lung's diagnostic algorithm, making the company an AI-enabled healthcare product with demonstrated clinical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bioAffinity Technologies FY2025 Earnings Release — Record CyPath Lung revenue (87% growth), 2,000-patient study initiation, March 2026</w:t>
      </w:r>
    </w:p>
    <w:p>
      <w:pPr>
        <w:spacing w:before="20" w:after="20"/>
        <w:ind w:left="170"/>
      </w:pPr>
      <w:r>
        <w:rPr>
          <w:rFonts w:ascii="Calibri" w:hAnsi="Calibri"/>
          <w:b/>
          <w:color w:val="4A6B25"/>
          <w:sz w:val="15"/>
        </w:rPr>
        <w:t xml:space="preserve">2. </w:t>
      </w:r>
      <w:r>
        <w:rPr>
          <w:rFonts w:ascii="Calibri" w:hAnsi="Calibri"/>
          <w:b w:val="0"/>
          <w:color w:val="3A4A28"/>
          <w:sz w:val="17"/>
        </w:rPr>
        <w:t>American Lung Association CEO appointment; bioAffinity leadership and board disclosures; The Org executive profiles</w:t>
      </w:r>
    </w:p>
    <w:p>
      <w:pPr>
        <w:spacing w:before="20" w:after="20"/>
        <w:ind w:left="170"/>
      </w:pPr>
      <w:r>
        <w:rPr>
          <w:rFonts w:ascii="Calibri" w:hAnsi="Calibri"/>
          <w:b/>
          <w:color w:val="4A6B25"/>
          <w:sz w:val="15"/>
        </w:rPr>
        <w:t xml:space="preserve">3. </w:t>
      </w:r>
      <w:r>
        <w:rPr>
          <w:rFonts w:ascii="Calibri" w:hAnsi="Calibri"/>
          <w:b w:val="0"/>
          <w:color w:val="3A4A28"/>
          <w:sz w:val="17"/>
        </w:rPr>
        <w:t>bioAffinity Technologies CyPath Lung clinical data — 92% sensitivity, 87% specificity, 88% accuracy in detecting lung cancer; case study publications,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BIAF (bioAffinity Technologies),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