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BIIB</w:t>
      </w:r>
      <w:r>
        <w:rPr>
          <w:rFonts w:ascii="Calibri" w:hAnsi="Calibri"/>
          <w:b/>
          <w:color w:val="1A2010"/>
          <w:sz w:val="40"/>
        </w:rPr>
        <w:t xml:space="preserve">  Biogen Inc.</w:t>
      </w:r>
    </w:p>
    <w:p>
      <w:pPr>
        <w:spacing w:after="120"/>
      </w:pPr>
      <w:r>
        <w:rPr>
          <w:rFonts w:ascii="Calibri" w:hAnsi="Calibri"/>
          <w:b/>
          <w:color w:val="6E8450"/>
          <w:sz w:val="18"/>
        </w:rPr>
        <w:t>GROWTH SLEEVE · 2026-04-29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NASDAQ · United States</w:t>
      </w:r>
    </w:p>
    <w:p>
      <w:pPr>
        <w:spacing w:after="80"/>
      </w:pPr>
      <w:r>
        <w:rPr>
          <w:rFonts w:ascii="Calibri" w:hAnsi="Calibri"/>
          <w:b w:val="0"/>
          <w:color w:val="3A4A28"/>
          <w:sz w:val="20"/>
        </w:rPr>
        <w:t>Biogen Inc. discovers, develops, manufactures, and delivers therapies for neurological and neurodegenerative diseases including multiple sclerosis, spinal muscular atrophy, Alzheimer's disease, and ALS. The company also offers biosimilar products and maintains collaboration agreements with Eisai, Sage Therapeutics, and others.</w:t>
      </w:r>
    </w:p>
    <w:p>
      <w:r>
        <w:rPr>
          <w:rFonts w:ascii="Calibri" w:hAnsi="Calibri"/>
          <w:b/>
          <w:color w:val="6E8450"/>
          <w:sz w:val="18"/>
        </w:rPr>
        <w:t>7,500 Employees · https://www.biogen.com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Biogen co-developed LEQEMBI (lecanemab) with Eisai for Alzheimer's disease, securing FDA approval — a landmark in a therapeutic area where drug development has historically failed [1]. However, the Aduhelm launch was a high-profile failure that damaged credibility. AI Deployment (0/2): No evidence of AI-powered products shipping or measurable AI-driven cost savings reported in earnings calls or press releases. Market Share (1/2): Biogen remains a meaningful player in MS with TECFIDERA, TYSABRI, and VUMERITY, though facing generic erosion. SPINRAZA maintains a position in spinal muscular atrophy despite competition from Novartis' Zolgensma [1]. Product Pipeline (1/2): LEQEMBI represents the major pipeline asset with ongoing SC formulation development. Collaborations with Sage (ZURZUVAE for postpartum depression), Denali, and Ionis provide pipeline optionality, though timelines remain uncertain [1]. R&amp;D Intensity (1/1): Biogen's R&amp;D spending is above the pharma industry average, consistent with its focus on difficult neurological indications.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Biogen's purpose — 'to pioneer innovative science to deliver new medicines that transform patients' lives' — is clear and specific to its neuroscience focus but is fairly standard for a large biopharma company and doesn't articulate a distinctive future state beyond what peers also claim [2]. Community Impact (2/2): Biogen has established significant community investment programs including the Biogen Foundation, which focuses on improving science education and access to healthcare, with measurable commitments to diversity in clinical trials and health equity initiatives detailed in its 2024 Corporate Responsibility Report [5]. Employee Retention (1/2): Glassdoor rating of 3.8/5 with 66% recommending to a friend suggests adequate but not exceptional employee sentiment. Multiple reviews cite restructuring waves and layoffs creating 'change fatigue,' though others praise supportive leadership and innovation culture [3]. Insider Buying (0/2): No evidence of meaningful net insider buying in the last 12 months; typical pharma executive compensation patterns with more selling than buying observed.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Biogen's balance sheet is relatively clean with a D/E ratio of 36.5%, well below the 70% target, and a forward P/E of 11.5x that signals deep value pricing [6]. However, the growth profile is concerning: revenue declined 7.1% YoY in Q4 2025 to $2.28B as legacy MS drugs face biosimilar competition, and the 3-year revenue CAGR of -0.9% reflects structural erosion of the core franchise [1]. ROE of 7.4% is below the 15% target, dragged down by $1.29B net income in FY2025 versus $3.05B in FY2022 — a 58% decline over three years. The PEG ratio of 3.94 exceeds the floor, contributing zero to the infrastructure calculation and reflecting the market's skepticism about Biogen's growth trajectory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Biogen exhibits mixed infinite game characteristics. The company's four-decade commitment to neuroscience represents a genuine long-term purpose, but recent strategic pivots — the Aduhelm controversy, aggressive cost-cutting, and organizational restructuring — suggest reactive finite game behavior. The willingness to pursue Alzheimer's disease therapeutics despite decades of industry failure shows elements of infinite thinking, but the execution has been uneven [1][3].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Biogen has maintained a distinctive focus on neurological and neurodegenerative diseases since its founding in 1978, pursuing therapeutics for conditions like MS, Alzheimer's, ALS, and spinal muscular atrophy that other pharma companies have often abandoned due to high failure rates [1]. This nearly five-decade commitment to neuroscience represents a genuine cause — improving the lives of patients with devastating brain diseases. However, the Aduhelm pricing controversy ($56,000/year initially, later cut to $28,200) and subsequent withdrawal raised questions about whether patient access or revenue maximization drives decision-making.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Biogen shows adequate but strained organizational trust. Glassdoor reviews describe supportive leadership in some areas but also cite 'restructuring waves, layoffs, and ongoing reorgs creating churn and change fatigue' [3]. More concerning, some reviews describe a 'culture of fear and control' in the North America commercial organization that has 'eroded trust and collaboration.' The 3.8/5 Glassdoor rating and 66% recommendation rate are adequate for the industry but reflect the cultural costs of serial restructuring.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Biogen's competitive language tends toward finite framing. The company positions against Novartis (Zolgensma vs. SPINRAZA), Roche (Ocrevus vs. TYSABRI), and Eli Lilly (donanemab vs. LEQEMBI) in market-share terms rather than acknowledging rivals' strengths as motivation for self-improvement. The Alzheimer's space in particular has become a competitive battleground framed around 'winning' the anti-amyloid market rather than collaborative advancement of neuroscience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Biogen has shown meaningful strategic evolution — pivoting from its original interferon-based MS franchise to monoclonal antibodies, then to antisense oligonucleotides (SPINRAZA), and most recently to anti-amyloid antibodies (LEQEMBI) for Alzheimer's [1]. The biosimilars business represents diversification beyond pure innovation. However, these shifts have been incremental extensions within the neuroscience framework rather than transformative reinventions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Biogen demonstrated courage in pursuing Alzheimer's disease therapeutics — a graveyard of pharma R&amp;D — culminating in the LEQEMBI approval with Eisai, investing billions in clinical trials when most competitors had retreated from the space [1]. The decision to withdraw Aduhelm after the controversial launch showed willingness to accept a costly write-down. However, the aggressive cost-cutting and restructuring under current management prioritizes near-term profitability over long-term R&amp;D capability, with headcount reductions from ~8,600 to 7,500 employees.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Biogen trades at a compelling 11.5x forward P/E with a clean balance sheet (36.5% D/E) and potential upside from LEQEMBI Alzheimer's commercialization, which represents a $10B+ addressable market if adoption scales with the subcutaneous formulation in development [1]. The $26.9B market cap is supported by $9.9B in annual revenue, a diversified neuroscience portfolio across MS, SMA, and rare diseases, and growing biosimilar contributions that provide cash flow stability.</w:t>
      </w:r>
    </w:p>
    <w:p>
      <w:pPr>
        <w:spacing w:after="120"/>
      </w:pPr>
      <w:r>
        <w:rPr>
          <w:rFonts w:ascii="Calibri" w:hAnsi="Calibri"/>
          <w:b w:val="0"/>
          <w:color w:val="3A4A28"/>
          <w:sz w:val="20"/>
        </w:rPr>
        <w:t>The bear case centers on structural revenue erosion: legacy MS drugs (TECFIDERA, AVONEX, TYSABRI) face biosimilar competition and declining prescriptions, with FY2025 net income dropping 21% to $1.29B from $1.63B the prior year [1][6]. LEQEMBI adoption has been slower than expected due to the requirement for amyloid PET scans, infusion logistics, and competition from Eli Lilly's donanemab. The PEG ratio of 3.94 reflects analyst skepticism about returning to growth. With 7,500 employees (down from ~8,600), further restructuring risks hollowing out the R&amp;D pipeline needed for long-term survival.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LEQEMBI subcutaneous formulation approval and commercial launch removing the IV infusion barrier and dramatically expanding the addressable Alzheimer's patient population</w:t>
      </w:r>
    </w:p>
    <w:p>
      <w:pPr>
        <w:spacing w:before="40" w:after="40"/>
        <w:ind w:left="283"/>
      </w:pPr>
      <w:r>
        <w:rPr>
          <w:rFonts w:ascii="Calibri" w:hAnsi="Calibri"/>
          <w:b/>
          <w:color w:val="4A6B25"/>
          <w:sz w:val="20"/>
        </w:rPr>
        <w:t xml:space="preserve">2. </w:t>
      </w:r>
      <w:r>
        <w:rPr>
          <w:rFonts w:ascii="Calibri" w:hAnsi="Calibri"/>
          <w:b w:val="0"/>
          <w:color w:val="3A4A28"/>
          <w:sz w:val="20"/>
        </w:rPr>
        <w:t>Pipeline readouts from Sage Therapeutics collaboration (ZURZUVAE expansion), Ionis antisense programs, and Denali therapeutics partnerships in neurodegeneration</w:t>
      </w:r>
    </w:p>
    <w:p>
      <w:pPr>
        <w:spacing w:before="40" w:after="40"/>
        <w:ind w:left="283"/>
      </w:pPr>
      <w:r>
        <w:rPr>
          <w:rFonts w:ascii="Calibri" w:hAnsi="Calibri"/>
          <w:b/>
          <w:color w:val="4A6B25"/>
          <w:sz w:val="20"/>
        </w:rPr>
        <w:t xml:space="preserve">3. </w:t>
      </w:r>
      <w:r>
        <w:rPr>
          <w:rFonts w:ascii="Calibri" w:hAnsi="Calibri"/>
          <w:b w:val="0"/>
          <w:color w:val="3A4A28"/>
          <w:sz w:val="20"/>
        </w:rPr>
        <w:t>Biosimilar revenue growth providing stable cash flows to fund R&amp;D reinvestment as legacy MS products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erosion of legacy MS franchise (TECFIDERA, AVONEX, TYSABRI) to biosimilar and next-generation competitors faster than LEQEMBI and pipeline products can offset</w:t>
      </w:r>
    </w:p>
    <w:p>
      <w:pPr>
        <w:spacing w:before="40" w:after="40"/>
        <w:ind w:left="283"/>
      </w:pPr>
      <w:r>
        <w:rPr>
          <w:rFonts w:ascii="Calibri" w:hAnsi="Calibri"/>
          <w:b/>
          <w:color w:val="4A6B25"/>
          <w:sz w:val="20"/>
        </w:rPr>
        <w:t xml:space="preserve">2. </w:t>
      </w:r>
      <w:r>
        <w:rPr>
          <w:rFonts w:ascii="Calibri" w:hAnsi="Calibri"/>
          <w:b w:val="0"/>
          <w:color w:val="3A4A28"/>
          <w:sz w:val="20"/>
        </w:rPr>
        <w:t>LEQEMBI adoption remains below expectations due to diagnostic requirements, payer pushback, and competition from Eli Lilly's donanemab in the anti-amyloid Alzheimer's market</w:t>
      </w:r>
    </w:p>
    <w:p>
      <w:pPr>
        <w:spacing w:before="40" w:after="40"/>
        <w:ind w:left="283"/>
      </w:pPr>
      <w:r>
        <w:rPr>
          <w:rFonts w:ascii="Calibri" w:hAnsi="Calibri"/>
          <w:b/>
          <w:color w:val="4A6B25"/>
          <w:sz w:val="20"/>
        </w:rPr>
        <w:t xml:space="preserve">3. </w:t>
      </w:r>
      <w:r>
        <w:rPr>
          <w:rFonts w:ascii="Calibri" w:hAnsi="Calibri"/>
          <w:b w:val="0"/>
          <w:color w:val="3A4A28"/>
          <w:sz w:val="20"/>
        </w:rPr>
        <w:t>Serial restructuring and headcount reductions hollowing out internal R&amp;D capabilities, leaving Biogen dependent on costly in-licensing and collaborations for future pipeline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Biogen's core business — discovering, manufacturing, and delivering complex biologic therapies for neurological diseases — is structurally protected from AI disruption. Drug manufacturing requires physical facilities, FDA-regulated processes, and decades of clinical development that AI cannot replace [1]. The neuroscience focus involves deeply complex biology where AI serves as a tool for drug discovery acceleration rather than a substitute for the therapeutic products themselves. Competitive moats include proprietary biologics manufacturing, regulatory approvals, and clinical trial data. AI Opportunity (0/1): While Biogen likely uses AI internally for drug discovery and clinical trial design, the company has not reported specific AI-generated revenue or quantified AI-driven cost savings in its public disclosures.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Biogen Full Year 2025 Earnings Release and Q4 Results, February 2026</w:t>
      </w:r>
    </w:p>
    <w:p>
      <w:pPr>
        <w:spacing w:before="20" w:after="20"/>
        <w:ind w:left="170"/>
      </w:pPr>
      <w:r>
        <w:rPr>
          <w:rFonts w:ascii="Calibri" w:hAnsi="Calibri"/>
          <w:b/>
          <w:color w:val="4A6B25"/>
          <w:sz w:val="15"/>
        </w:rPr>
        <w:t xml:space="preserve">2. </w:t>
      </w:r>
      <w:r>
        <w:rPr>
          <w:rFonts w:ascii="Calibri" w:hAnsi="Calibri"/>
          <w:b w:val="0"/>
          <w:color w:val="3A4A28"/>
          <w:sz w:val="17"/>
        </w:rPr>
        <w:t>Biogen corporate website — mission and leadership,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Glassdoor — Biogen employee reviews and ratings (3.8/5, 2,034 reviews),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Biogen 2024 Corporate Responsibility Report — ESG initiatives and community programs</w:t>
      </w:r>
    </w:p>
    <w:p>
      <w:pPr>
        <w:spacing w:before="20" w:after="20"/>
        <w:ind w:left="170"/>
      </w:pPr>
      <w:r>
        <w:rPr>
          <w:rFonts w:ascii="Calibri" w:hAnsi="Calibri"/>
          <w:b/>
          <w:color w:val="4A6B25"/>
          <w:sz w:val="15"/>
        </w:rPr>
        <w:t xml:space="preserve">5. </w:t>
      </w:r>
      <w:r>
        <w:rPr>
          <w:rFonts w:ascii="Calibri" w:hAnsi="Calibri"/>
          <w:b w:val="0"/>
          <w:color w:val="3A4A28"/>
          <w:sz w:val="17"/>
        </w:rPr>
        <w:t>Biogen Foundation and health equity initiatives,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BIIB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