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BILI</w:t>
      </w:r>
      <w:r>
        <w:rPr>
          <w:rFonts w:ascii="Calibri" w:hAnsi="Calibri"/>
          <w:b/>
          <w:color w:val="1A2010"/>
          <w:sz w:val="40"/>
        </w:rPr>
        <w:t xml:space="preserve">  Bilibili Inc.</w:t>
      </w:r>
    </w:p>
    <w:p>
      <w:pPr>
        <w:spacing w:after="120"/>
      </w:pPr>
      <w:r>
        <w:rPr>
          <w:rFonts w:ascii="Calibri" w:hAnsi="Calibri"/>
          <w:b/>
          <w:color w:val="6E8450"/>
          <w:sz w:val="18"/>
        </w:rPr>
        <w:t>GROWTH SLEEVE · 2026-04-11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Bilibili Inc. is a leading Chinese online entertainment platform centered on video, gaming, and community culture. With 366 million MAU and 113 million DAU as of Q4 2025, the platform serves a young, highly engaged audience averaging 107 minutes of daily usage. Revenue streams include value-added services, advertising, mobile games, and IP derivatives.</w:t>
      </w:r>
    </w:p>
    <w:p>
      <w:r>
        <w:rPr>
          <w:rFonts w:ascii="Calibri" w:hAnsi="Calibri"/>
          <w:b/>
          <w:color w:val="6E8450"/>
          <w:sz w:val="18"/>
        </w:rPr>
        <w:t>11,000 Employees · https://www.bilibili.com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Bilibili has diversified from a niche anime community into a broad content platform reaching 366M MAU, growing advertising revenue 23% YoY to RMB10.06B in FY2025 and achieving first full-year GAAP profitability [1]. This is meaningful commercial evolution but not a transformative pivot. AI Deployment (1/2): The company 'continuously explores AI applications to optimize user experience, empower content creators and create community value,' with AI-driven advertising campaigns mentioned as a growth driver [2]. However, specific AI products or quantified results were not disclosed. Market Share Leadership (2/2): Bilibili is the dominant platform for Gen Z content consumption in China, with 113M DAU (+10% YoY) and 107-minute average daily engagement — metrics that indicate category leadership in young-audience video content [1]. Product Pipeline (1/2): Management expressed intent to 'seize AI-driven opportunities' in 2026, and gaming remains a pipeline driver with RMB6.39B in mobile game revenue, though specific next-gen products with launch dates were not detailed [1]. R&amp;D Intensity (0/1): R&amp;D spending details were not available in the earnings release, and the company's technology investments are embedded within operating expenses without clear R&amp;D intensity benchmarking against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Rui Chen states Bilibili is 'deeply committed to creating lasting social value' and the platform is positioned as 'an engaging ecosystem with quality content while driving industry progress through tech and content innovation' [2]. This is clear and connects to a larger purpose around community and content creation, though it reads as standard platform-company language. Community Impact (1/2): Bilibili's ESG report covers charitable activities, minors' protection, and content creator empowerment — 21% increase in creator earnings reported [3]. The platform serves as an educational resource with documentaries and learning content for young audiences. Employee Retention (1/2): The company provided average training of 35 hours per person in 2024 and invests in employee career development [2]. CEO Chen's 11-year tenure provides leadership continuity. No voluntary turnover data available. Insider Buying (1/2): The company executed $131.2M in share repurchases (7M shares) under a $200M buyback program, signaling management confidence in the stock's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Bilibili's first year of GAAP profitability in FY2025 (RMB1.19B net income) marks a financial inflection point, supported by strong D/E of 62% and RMB24.15B cash against RMB9.64B total debt [1]. Revenue grew 13% to RMB30.35B with gross margin expanding from 32.7% to 36.6%. Operating cash flow of RMB7.15B (+19% YoY) demonstrates improving cash generation. Forward P/E of 17.3x is attractive for a platform growing double-digits. However, net margin of 3.9% remains thin and ROE of 8% is below target. Computed on 6 growth-stock metrics: D/E (1.0, 1x), ROE (0.54, 2x), Rev Growth YoY (0.92, 1x), Rev Growth 5yr CAGR (1.0, 2x), Forward P/E (1.0, 1x), Profit Margin (0.20, 1x). Weighted sum 6.20 / max 8.0 = 7.75, rounded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Bilibili demonstrates meaningful infinite game qualities through CEO Rui Chen's 11-year tenure nurturing a distinctive community-first platform culture, but the company's reliance on Chinese regulatory compliance, finite competitive dynamics in the domestic internet market, and recent shift toward monetization and profitability suggest tension between community purpose and commercial imperatives.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Bilibili's implicit cause is building a community where young Chinese creators and audiences connect through content, culture, and shared interests — the unique 'membership exam' culture and 107-minute daily engagement suggest genuine community value beyond entertainment consumption [1]. However, this cause has not been articulated at the transformative level Sinek requires. The platform's purpose is increasingly framed around commercial metrics (MAU growth, ad revenue) rather than a vision of a future state that transcends the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Chen's 11-year tenure as founder-CEO provides leadership stability, and the company's investment in 35 hours of employee training per person signals commitment to development [2]. The platform's creator ecosystem — where creators earned 21% more in 2024 — suggests a culture of shared value creation. However, no specific data on employee turnover, internal culture quality, or psychological safety was available. Chinese tech companies generally operate in a high-pressure work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Bilibili competes intensely with Douyin (TikTok China), iQiyi, and Tencent Video, and public communications frame competition in market share terms — DAU growth, MAU penetration, and ad revenue gains — rather than acknowledging rivals' strengths as motivation for self-improvement. The competitive language in earnings releases focuses on Bilibili's own metrics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Bilibili has evolved from a niche anime/ACG (anime, comics, games) community into a broad entertainment and content platform, expanding into advertising (now its second-largest revenue segment at RMB10B), mobile gaming, and e-commerce [1]. This represents meaningful strategic evolution while maintaining the community DNA. The transition from a loss-making growth company to GAAP profitability in 2025 required operational discipline and cost restructuring. However, the core video platform model has not been fundamentally reinvented.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courage by maintaining heavy investment in content and community during years of losses (cumulative ~RMB10B in net losses through 2024) before achieving profitability in 2025 [1]. The decision to prioritize community quality over aggressive monetization — including the unique membership exam that limits user growth but preserves culture — reflects long-term thinking. Executing $131.2M in buybacks signals confidence but is modest relative to the company's cash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Bilibili reached a critical financial inflection point in FY2025, achieving its first full-year GAAP profit (RMB1.19B) on RMB30.35B revenue (+13% YoY), with advertising revenue surging 23% to RMB10.06B and gross margins expanding 390bps to 36.6% [1]. The platform commands extraordinary engagement — 113M DAU averaging 107 minutes daily — in the coveted Chinese Gen Z demographic, and at 17.3x forward P/E the stock offers compelling value for a platform with 20%+ 5-year revenue CAGR and RMB24.15B cash on the balance sheet. Operating cash flow of RMB7.15B (+19% YoY) provides runway for continued content investment and shareholder returns.</w:t>
      </w:r>
    </w:p>
    <w:p>
      <w:pPr>
        <w:spacing w:after="120"/>
      </w:pPr>
      <w:r>
        <w:rPr>
          <w:rFonts w:ascii="Calibri" w:hAnsi="Calibri"/>
          <w:b w:val="0"/>
          <w:color w:val="3A4A28"/>
          <w:sz w:val="20"/>
        </w:rPr>
        <w:t>The bear case centers on structural risks: Chinese regulatory uncertainty around content governance, gaming, and platform oversight creates unpredictable policy risk that has historically compressed valuations for Chinese internet stocks [3]. Revenue growth decelerated to 8% in Q4 2025, and mobile gaming revenue declined 14% in Q4, raising questions about growth durability beyond advertising. Net margin of 3.9% is thin relative to global platform peers, and the VIE structure underlying the ADR creates jurisdictional risk for U.S.-listed shares. Competition from Douyin/TikTok China, which commands vastly larger scale and Bytedance's AI capabilities, threatens Bilibili's ability to sustain premium engagement metrics as AI-generated content proliferates.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Advertising revenue growth trajectory — 23% FY2025 growth with AI-driven targeting optimization could accelerate as Bilibili monetizes its highly engaged 113M DAU user base</w:t>
      </w:r>
    </w:p>
    <w:p>
      <w:pPr>
        <w:spacing w:before="40" w:after="40"/>
        <w:ind w:left="283"/>
      </w:pPr>
      <w:r>
        <w:rPr>
          <w:rFonts w:ascii="Calibri" w:hAnsi="Calibri"/>
          <w:b/>
          <w:color w:val="4A6B25"/>
          <w:sz w:val="20"/>
        </w:rPr>
        <w:t xml:space="preserve">2. </w:t>
      </w:r>
      <w:r>
        <w:rPr>
          <w:rFonts w:ascii="Calibri" w:hAnsi="Calibri"/>
          <w:b w:val="0"/>
          <w:color w:val="3A4A28"/>
          <w:sz w:val="20"/>
        </w:rPr>
        <w:t>Margin expansion inflection: gross margin rose 390bps to 36.6% in FY2025, and operating leverage on a largely fixed cost base could drive adjusted net margins toward double digits</w:t>
      </w:r>
    </w:p>
    <w:p>
      <w:pPr>
        <w:spacing w:before="40" w:after="40"/>
        <w:ind w:left="283"/>
      </w:pPr>
      <w:r>
        <w:rPr>
          <w:rFonts w:ascii="Calibri" w:hAnsi="Calibri"/>
          <w:b/>
          <w:color w:val="4A6B25"/>
          <w:sz w:val="20"/>
        </w:rPr>
        <w:t xml:space="preserve">3. </w:t>
      </w:r>
      <w:r>
        <w:rPr>
          <w:rFonts w:ascii="Calibri" w:hAnsi="Calibri"/>
          <w:b w:val="0"/>
          <w:color w:val="3A4A28"/>
          <w:sz w:val="20"/>
        </w:rPr>
        <w:t>Gaming pipeline recovery and AI content tools deployment could reignite the mobile gaming segment (RMB6.39B) after Q4 2025's 14%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regulatory risk: content governance requirements, gaming restrictions, and potential platform regulation changes create unpredictable policy overhang that has historically compressed Chinese internet valuations</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8% in Q4 2025 and 14% mobile gaming decline signal potential maturation of the domestic user growth opportunity</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Douyin/TikTok China with superior AI capabilities and scale could erode Bilibili's differentiated position in the Gen Z content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Bilibili faces meaningful AI exposure as a content platform. AI-generated video, animation, and gaming content could reduce the value of human-created content that forms the platform's core proposition. AI tools enabling content creation on competing platforms could lower barriers to entry in the Chinese video market [2]. Bilibili's community moat — the 'membership exam' culture and deeply loyal Gen Z user base averaging 107 minutes daily — provides some defense, as does the platform's role as a social network rather than pure content consumption. However, AI-generated short-form video from Douyin/TikTok and AI-powered recommendation engines from competitors represent ongoing competitive threats. Chinese regulatory requirements around content governance add a layer of protection from unregulated AI content flooding. AI Opportunity (1/1): Bilibili generates revenue from AI-powered advertising targeting and content recommendation, with management explicitly citing AI-driven ad campaigns as a growth driver in Q4 2025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Bilibili FY2025 and Q4 2025 Financial Results Press Release, StockTitan/Bilibili IR, March 2026</w:t>
      </w:r>
    </w:p>
    <w:p>
      <w:pPr>
        <w:spacing w:before="20" w:after="20"/>
        <w:ind w:left="170"/>
      </w:pPr>
      <w:r>
        <w:rPr>
          <w:rFonts w:ascii="Calibri" w:hAnsi="Calibri"/>
          <w:b/>
          <w:color w:val="4A6B25"/>
          <w:sz w:val="15"/>
        </w:rPr>
        <w:t xml:space="preserve">2. </w:t>
      </w:r>
      <w:r>
        <w:rPr>
          <w:rFonts w:ascii="Calibri" w:hAnsi="Calibri"/>
          <w:b w:val="0"/>
          <w:color w:val="3A4A28"/>
          <w:sz w:val="17"/>
        </w:rPr>
        <w:t>Bilibili CEO Commentary and ESG/Culture Reports, Simply Wall St and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Bilibili 2024 ESG Report and Platform Governance Coverage, GlobeNewsWire, April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