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BIRK</w:t>
      </w:r>
      <w:r>
        <w:rPr>
          <w:rFonts w:ascii="Calibri" w:hAnsi="Calibri"/>
          <w:b/>
          <w:color w:val="1A2010"/>
          <w:sz w:val="40"/>
        </w:rPr>
        <w:t xml:space="preserve">  Birkenstock Holding plc</w:t>
      </w:r>
    </w:p>
    <w:p>
      <w:pPr>
        <w:spacing w:after="120"/>
      </w:pPr>
      <w:r>
        <w:rPr>
          <w:rFonts w:ascii="Calibri" w:hAnsi="Calibri"/>
          <w:b/>
          <w:color w:val="6E8450"/>
          <w:sz w:val="18"/>
        </w:rPr>
        <w:t>GROWTH SLEEVE · 2026-04-12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Germany</w:t>
      </w:r>
    </w:p>
    <w:p>
      <w:pPr>
        <w:spacing w:after="80"/>
      </w:pPr>
      <w:r>
        <w:rPr>
          <w:rFonts w:ascii="Calibri" w:hAnsi="Calibri"/>
          <w:b w:val="0"/>
          <w:color w:val="3A4A28"/>
          <w:sz w:val="20"/>
        </w:rPr>
        <w:t>Birkenstock is a 250-year-old German footwear brand manufacturing cork-footbed sandals, clogs, and closed-toe shoes. The company controls the majority of its production in Germany, sells globally through B2B wholesale and direct-to-consumer channels, and was taken public by L Catterton (an LVMH-affiliated private equity firm) in October 2023.</w:t>
      </w:r>
    </w:p>
    <w:p>
      <w:r>
        <w:rPr>
          <w:rFonts w:ascii="Calibri" w:hAnsi="Calibri"/>
          <w:b/>
          <w:color w:val="6E8450"/>
          <w:sz w:val="18"/>
        </w:rPr>
        <w:t>6,200 Employees · https://www.birkenstock-group.com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Birkenstock executed a major brand repositioning over the past five years — from utilitarian orthopedic footwear to an aspirational lifestyle brand, validated by the 2023 'Barbie' cultural moment and a successful NYSE IPO that has driven growth well above footwear peers [1][3]. Q1 FY26 revenue grew 18% in constant currency with B2B +24% and APAC +37% [1]. AI Deployment (0/2): No material AI-driven product or operational announcements; Birkenstock's innovation is materials- and craft-led rather than software-led. Market Share (1/2): Gaining share in global premium footwear with pricing power (FY26 gross margin guided to 57-57.5%) but remains a niche player versus Nike, adidas, and Deckers [1]. Pipeline (1/2): FY26 plan includes 40 new own-retail stores, shearling/closed-toe category extensions, and continued APAC buildout with explicit 13-15% full-year revenue guidance [1][2]. R&amp;D Intensity (1/1): Heavy reinvestment in owned German manufacturing capacity and materials science for the proprietary cork footbed, above industry norms for a footwear brand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Birkenstock articulates a specific purpose — making functional, foot-healthy, craft-made footwear — that has been lived out for 250 years across six generations of family ownership and maintained under professional management [2][3]. The purpose is distinctive, product-led, and demonstrably shapes manufacturing and materials decisions. Community Impact (1/2): The company publishes sustainability reporting on materials, energy use, and German manufacturing, plus community giving programs, but the scale and specificity are modest and Good On You rates environmental/social performance only 'Not Good Enough' [4]. Employee Retention (1/2): Birkenstock has a 4.2/5 Glassdoor rating with 'management, career development, and culture' as top pros, and many German production employees have multi-decade tenure — though diversity/senior leadership are flagged as weaknesses [3]. Insider Buying (1/2): L Catterton remains a major holder and insiders have shown conviction by retaining stakes post-IPO lockups, though there is no evidence of meaningful open-market executive buying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and margin profile are strong but leverage is elevated. Q1 FY26 revenue grew 18% in cc to €402M with net profit up ~150% YoY to €50.6M, and FY26 guidance calls for 13-15% cc growth with 57-57.5% gross margins [1]. The company still carries meaningful debt from the LBO takeprivate era (debt-to-equity well above 100%), which weighs on the infrastructure math even as free cash flow improves [5]. Forward P/E in the mid-20s with forward PEG around 1.6 reflects premium pricing for premium growth [5]. Liquidity floor cleared: ~2.5M avg daily volume × ~$54 price = ~$135M, well above the $1M threshold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Birkenstock is one of the purest infinite-game stories in footwear — a 250-year-old brand with an unchanged core product and a genuine purpose around foot health and craft manufacturing. The professionalization under L Catterton and public-market pressures pull the company partially toward finite metrics, but the long-arc brand stewardship remains intact.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 making foot-healthy, craft-manufactured footwear — has endured 250 years across six generations of Birkenstock family ownership and survived multiple transitions including the 2021 L Catterton recapitalization and 2023 IPO [2][3]. The purpose clearly shapes product decisions (cork footbed fidelity, German manufacturing, orthopedic positioning) but private-equity/public-market ownership introduces tension around capital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4.2/5 with management, culture, and career development cited as strengths suggests an adequately trusting environment, and long German production tenure indicates stable retention [3]. Diversity and senior leadership feedback are weaker, and the post-IPO professionalization has driven some cultural disruption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Kahan and European leadership have publicly acknowledged learning from Crocs, Deckers/HOKA, and Nike on DTC, retail theater, and category innovation, and frame competition as a forcing function to sharpen Birkenstock's own craft-and-comfort differentiation rather than a zero-sum war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Birkenstock has demonstrated meaningful flexibility — repositioning from an orthopedic brand to a luxury lifestyle brand, expanding from wholesale into owned retail, and entering closed-toe and shearling categories while preserving the core cork footbed [2][3]. The changes are extensions, not reinventions, which is appropriate for a 250-year heritage brand.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held pricing discipline and resisted discounting during inflation and tariff pressure, absorbing a 130bp Q1 FY26 margin hit from U.S. tariffs rather than cheapening the product [1]. Offsetting that, the elevated post-LBO debt load and shareholder-return posture since the IPO temper the infinite-game read.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Birkenstock is executing one of the cleanest premium-brand compounders in consumer. Q1 FY26 revenue grew 18% in constant currency to €402M with net profit up ~150% YoY, and management raised full-year guidance to 13-15% cc revenue growth and 57-57.5% gross margins [1]. Category mix (B2B +24%, APAC +37%), 40 new own-retail stores, and pricing power through tariff pass-through validate a rare combination of volume and margin expansion [1]. The 250-year brand, owned German manufacturing, and structural AI immunity (physical craft footwear) provide defensive characteristics typically absent in footwear at this growth rate [3]. Inspire Insight scores BIRK at +44 (ALIGNED), with positive attributions across employee wellbeing, ethical labor, supply chain, and product sustainability.</w:t>
      </w:r>
    </w:p>
    <w:p>
      <w:pPr>
        <w:spacing w:after="120"/>
      </w:pPr>
      <w:r>
        <w:rPr>
          <w:rFonts w:ascii="Calibri" w:hAnsi="Calibri"/>
          <w:b w:val="0"/>
          <w:color w:val="3A4A28"/>
          <w:sz w:val="20"/>
        </w:rPr>
        <w:t>The bear case centers on valuation and leverage. Forward P/E in the mid-20s and forward PEG near 1.6 leave limited margin of safety if U.S. demand softens or APAC enthusiasm normalizes [5]. Post-LBO leverage remains elevated (debt-to-equity ~135%), and U.S. tariffs already compressed Q1 gross margin by 130bps [1]. The brand's current cultural momentum (post-'Barbie' halo, DTC rollout) is inherently cyclical — footwear fashion eventually rotates, and premium pricing depends on sustained aspirational positioning. Good On You and similar raters score Birkenstock only 'Not Good Enough' on environmental and people pillars despite marketing emphasis on craft and sustainability, exposing ESG-rating risk [4]. Concentrated ownership by L Catterton creates an ongoing overhang from potential secondary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APAC continues compounding at 30%+ constant-currency growth, with Japan and China retail expansion supporting 40-store FY26 rollout [1]</w:t>
      </w:r>
    </w:p>
    <w:p>
      <w:pPr>
        <w:spacing w:before="40" w:after="40"/>
        <w:ind w:left="283"/>
      </w:pPr>
      <w:r>
        <w:rPr>
          <w:rFonts w:ascii="Calibri" w:hAnsi="Calibri"/>
          <w:b/>
          <w:color w:val="4A6B25"/>
          <w:sz w:val="20"/>
        </w:rPr>
        <w:t xml:space="preserve">2. </w:t>
      </w:r>
      <w:r>
        <w:rPr>
          <w:rFonts w:ascii="Calibri" w:hAnsi="Calibri"/>
          <w:b w:val="0"/>
          <w:color w:val="3A4A28"/>
          <w:sz w:val="20"/>
        </w:rPr>
        <w:t>Closed-toe and shearling category extensions sustaining B2B wholesale growth above 20% and diversifying revenue beyond classic sandals [1]</w:t>
      </w:r>
    </w:p>
    <w:p>
      <w:pPr>
        <w:spacing w:before="40" w:after="40"/>
        <w:ind w:left="283"/>
      </w:pPr>
      <w:r>
        <w:rPr>
          <w:rFonts w:ascii="Calibri" w:hAnsi="Calibri"/>
          <w:b/>
          <w:color w:val="4A6B25"/>
          <w:sz w:val="20"/>
        </w:rPr>
        <w:t xml:space="preserve">3. </w:t>
      </w:r>
      <w:r>
        <w:rPr>
          <w:rFonts w:ascii="Calibri" w:hAnsi="Calibri"/>
          <w:b w:val="0"/>
          <w:color w:val="3A4A28"/>
          <w:sz w:val="20"/>
        </w:rPr>
        <w:t>Gross margin recovery toward 58%+ as tariff and FX headwinds annualize and DTC mix shift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consumer discretionary slowdown — Americas growth is the largest revenue base and most tariff-exposed [1]</w:t>
      </w:r>
    </w:p>
    <w:p>
      <w:pPr>
        <w:spacing w:before="40" w:after="40"/>
        <w:ind w:left="283"/>
      </w:pPr>
      <w:r>
        <w:rPr>
          <w:rFonts w:ascii="Calibri" w:hAnsi="Calibri"/>
          <w:b/>
          <w:color w:val="4A6B25"/>
          <w:sz w:val="20"/>
        </w:rPr>
        <w:t xml:space="preserve">2. </w:t>
      </w:r>
      <w:r>
        <w:rPr>
          <w:rFonts w:ascii="Calibri" w:hAnsi="Calibri"/>
          <w:b w:val="0"/>
          <w:color w:val="3A4A28"/>
          <w:sz w:val="20"/>
        </w:rPr>
        <w:t>Fashion cyclicality — Birkenstock's current cultural halo is a tailwind that can reverse, compressing ASPs and margin [3]</w:t>
      </w:r>
    </w:p>
    <w:p>
      <w:pPr>
        <w:spacing w:before="40" w:after="40"/>
        <w:ind w:left="283"/>
      </w:pPr>
      <w:r>
        <w:rPr>
          <w:rFonts w:ascii="Calibri" w:hAnsi="Calibri"/>
          <w:b/>
          <w:color w:val="4A6B25"/>
          <w:sz w:val="20"/>
        </w:rPr>
        <w:t xml:space="preserve">3. </w:t>
      </w:r>
      <w:r>
        <w:rPr>
          <w:rFonts w:ascii="Calibri" w:hAnsi="Calibri"/>
          <w:b w:val="0"/>
          <w:color w:val="3A4A28"/>
          <w:sz w:val="20"/>
        </w:rPr>
        <w:t>L Catterton secondary offerings — continued sponsor sell-downs create a structural share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Birkenstock designs, manufactures, and sells physical footwear made from cork, leather, and EVA through controlled German factories — none of which AI can displace. Analysts do not flag AI as a demand or margin risk for premium craft footwear, and AI-driven personalization and supply-chain tools are net-positive for the brand's DTC rollout [1][3]. The 250-year craft manufacturing model is structurally immune to generative AI substitution. AI Opportunity (0/1): No disclosed AI revenue contribution; AI is used internally for demand planning and marketing but is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Birkenstock Q1 FY2026 Earnings Release — €402M revenue, +18% cc, FY26 guidance 13-15% cc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Birkenstock Group Sustainability Report and FY2026 strategic update</w:t>
      </w:r>
    </w:p>
    <w:p>
      <w:pPr>
        <w:spacing w:before="20" w:after="20"/>
        <w:ind w:left="170"/>
      </w:pPr>
      <w:r>
        <w:rPr>
          <w:rFonts w:ascii="Calibri" w:hAnsi="Calibri"/>
          <w:b/>
          <w:color w:val="4A6B25"/>
          <w:sz w:val="15"/>
        </w:rPr>
        <w:t xml:space="preserve">3. </w:t>
      </w:r>
      <w:r>
        <w:rPr>
          <w:rFonts w:ascii="Calibri" w:hAnsi="Calibri"/>
          <w:b w:val="0"/>
          <w:color w:val="3A4A28"/>
          <w:sz w:val="17"/>
        </w:rPr>
        <w:t>WWD / Footwear News / The Branding Journal — Birkenstock CEO David Kahan, brand reinvention, leadership culture</w:t>
      </w:r>
    </w:p>
    <w:p>
      <w:pPr>
        <w:spacing w:before="20" w:after="20"/>
        <w:ind w:left="170"/>
      </w:pPr>
      <w:r>
        <w:rPr>
          <w:rFonts w:ascii="Calibri" w:hAnsi="Calibri"/>
          <w:b/>
          <w:color w:val="4A6B25"/>
          <w:sz w:val="15"/>
        </w:rPr>
        <w:t xml:space="preserve">4. </w:t>
      </w:r>
      <w:r>
        <w:rPr>
          <w:rFonts w:ascii="Calibri" w:hAnsi="Calibri"/>
          <w:b w:val="0"/>
          <w:color w:val="3A4A28"/>
          <w:sz w:val="17"/>
        </w:rPr>
        <w:t>Good On You, Commons / Sustainable Brands — ESG ratings summary for Birkenstock</w:t>
      </w:r>
    </w:p>
    <w:p>
      <w:pPr>
        <w:spacing w:before="20" w:after="20"/>
        <w:ind w:left="170"/>
      </w:pPr>
      <w:r>
        <w:rPr>
          <w:rFonts w:ascii="Calibri" w:hAnsi="Calibri"/>
          <w:b/>
          <w:color w:val="4A6B25"/>
          <w:sz w:val="15"/>
        </w:rPr>
        <w:t xml:space="preserve">5. </w:t>
      </w:r>
      <w:r>
        <w:rPr>
          <w:rFonts w:ascii="Calibri" w:hAnsi="Calibri"/>
          <w:b w:val="0"/>
          <w:color w:val="3A4A28"/>
          <w:sz w:val="17"/>
        </w:rPr>
        <w:t>Yahoo Finance / Investing.com BIRK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