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BITF</w:t>
      </w:r>
      <w:r>
        <w:rPr>
          <w:rFonts w:ascii="Calibri" w:hAnsi="Calibri"/>
          <w:b/>
          <w:color w:val="1A2010"/>
          <w:sz w:val="40"/>
        </w:rPr>
        <w:t xml:space="preserve">  Bitfarms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Bitfarms operates bitcoin mining facilities and is pivoting to become a North American energy and digital infrastructure company focused on high-performance computing (HPC) and AI data centers. The company operates across Canada, the United States, Paraguay, and Argentina with a 2.1 GW power portfolio.</w:t>
      </w:r>
    </w:p>
    <w:p>
      <w:r>
        <w:rPr>
          <w:rFonts w:ascii="Calibri" w:hAnsi="Calibri"/>
          <w:b/>
          <w:color w:val="6E8450"/>
          <w:sz w:val="18"/>
        </w:rPr>
        <w:t>200 Employees · https://www.bitfarms.com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Bitfarms has operated bitcoin mining since 2017 and is now executing a major strategic pivot to HPC/AI infrastructure, engaging ASG and WWT to shape its AI strategy and committing $128M to convert its Washington site [1]. AI Deployment (1/2): The company is building infrastructure for AI workloads targeting Nvidia Vera Rubin GPUs by Q4 2026, but has not yet deployed AI-serving capacity [2]. Market Share (1/2): A mid-tier bitcoin miner with 341 MW energized capacity, competing against larger players like Marathon Digital and Riot Platforms. Pipeline (1/2): Concrete pipeline includes 80 MW substation by year-end 2026, 350 MW Panther Creek expansion, and potential rebranding to 'Keel Infrastructure' [1]. R&amp;D Intensity (1/1): Active investment in HPC conversion and GPU-as-a-Service capabilities demonstrates commitment to technological evolution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Bitfarms' stated mission around sustainable expansion and responsible practices is generic for the crypto mining industry [2]. Community Impact (1/2): The company has faced noise pollution complaints in Paraguay and questions about long-term environmental sustainability of mining operations [3]. Employee Retention (0/2): No employee retention data available; leadership turnover included CEO replacement in 2024. Insider Buying (1/2): CEO Ben Gagnon has operational equity alignment, and the company recently hired six experienced executives for the HPC pivot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Bitfarms shows strong revenue growth of 156% YoY in Q3 2025 to $69M from continuing operations, but operates at a net loss of $46M with -46.4% profit margins [1][4]. D/E is low at 12.1% and the company has $814M in total liquidity ($637M cash, $177M BTC), providing substantial runway [1]. Forward P/E is negative, reflecting unprofitability. Liquidity floor cleared: 35.6M avg volume x $2.21 = $78.7M daily turnover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Bitfarms is executing a pragmatic pivot from bitcoin mining to HPC/AI infrastructure, driven more by market opportunity than a deep organizational purpose. The company's strategy shifts — from pure mining to energy arbitrage to AI hosting — reflect opportunistic adaptation rather than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Bitfarms lacks a compelling Just Cause — the company's stated purpose around sustainable digital infrastructure is undermined by its history as a crypto miner now pivoting to wherever returns are highest. The potential rebrand to 'Keel Infrastructure' suggests even the identity is fluid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Ben Gagnon was appointed in July 2024 after leadership transition, and the company hired six new executives in March 2026 for the HPC pivot [2]. This rapid leadership buildout suggests the prior team lacked necessary capabilities, and organizational stability remains unproven.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that Bitfarms acknowledges competitors' strengths or uses rivalry as motivation for self-improvement. The company's competitive positioning focuses on energy cost advantages rather than learning from peers like Marathon or Core Scientific.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pure bitcoin mining to HPC/AI infrastructure is a meaningful strategic shift, but it's driven by deteriorating mining economics after the halving rather than a purposeful decision in service of a deeper cause [1]. The company is also winding down mining in 2026-2027.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$128M to convert the Washington site to HPC/AI and securing $300M in project financing shows willingness to invest in transformation [1]. However, this is industry-standard behavior among bitcoin miners facing post-halving economics, not a uniquely courageous strategic bet.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Bitfarms holds $814M in liquidity with a 2.1 GW North American power portfolio being converted for HPC/AI workloads, positioning it as a potential beneficiary of the $175B+ in hyperscaler AI capex planned for 2026 [1]. Revenue grew 156% YoY in Q3 2025, the HPC pivot targets Nvidia Vera Rubin GPUs, and the Panther Creek project offers 350 MW of growth capacity. At $2.21 per share (market cap ~$1.3B), the stock trades at a fraction of its power portfolio replacement value.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in a highly competitive HPC/AI infrastructure market where Bitfarms has zero track record of hosting AI workloads [1]. Bitcoin mining revenue is deteriorating as BTC fell to ~$60K, well below the estimated $87K mining cost, and the company reported a $46M net loss in Q3 [1][3]. The 2026-2027 transition period creates a revenue gap as mining winds down before HPC revenue ramps, and $588M in convertible notes represent significant dilution risk. Noise pollution complaints and energy sustainability questions add operational uncertainty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Washington site HPC/AI conversion completion by December 2026 with Nvidia Vera Rubin GPU hosting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80 MW substation and 350 MW Panther Creek expansion could attract hyperscaler customers in H2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rebranding to 'Keel Infrastructure' with U.S. redomiciliation could unlock institutional investor interest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track record in HPC/AI hosting creates execution risk against established competitors like Equinix and Digital Realty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Bitcoin price at ~$60K versus ~$87K mining cost means core mining business is cash-flow negative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$588M convertible notes represent major dilution risk if stock price remains depressed and notes convert at unfavorable terms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Bitcoin mining is exposed to AI disruption indirectly — as AI data center demand drives up energy costs, mining economics deteriorate. However, Bitfarms' pivot to HPC/AI infrastructure transforms it from AI-threatened to AI-enabled [1]. The transition remains early-stage and execution-dependent. AI Opportunity (1/1): The company is actively converting sites for AI workloads, targeting Nvidia Vera Rubin GPU hosting and GPU-as-a-Service, with $300M Panther Creek financing secured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Bitfarms Q3 2025 Earnings Release and Strategic Update,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Bitfarms Leadership Expansion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Bitfarms ESG and Environmental Reporting,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BITF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