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BKD</w:t>
      </w:r>
      <w:r>
        <w:rPr>
          <w:rFonts w:ascii="Calibri" w:hAnsi="Calibri"/>
          <w:b/>
          <w:color w:val="1A2010"/>
          <w:sz w:val="40"/>
        </w:rPr>
        <w:t xml:space="preserve">  Brookdale Senior Living Inc.</w:t>
      </w:r>
    </w:p>
    <w:p>
      <w:pPr>
        <w:spacing w:after="120"/>
      </w:pPr>
      <w:r>
        <w:rPr>
          <w:rFonts w:ascii="Calibri" w:hAnsi="Calibri"/>
          <w:b/>
          <w:color w:val="6E8450"/>
          <w:sz w:val="18"/>
        </w:rPr>
        <w:t>GROWTH SLEEVE · 2026-03-31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Brookdale Senior Living is the largest operator of senior living communities in the United States, operating approximately 546 owned, leased, and managed properties across Independent Living, Assisted Living and Memory Care, and Continuing Care Retirement Communities segments, serving middle to upper income seniors.</w:t>
      </w:r>
    </w:p>
    <w:p>
      <w:r>
        <w:rPr>
          <w:rFonts w:ascii="Calibri" w:hAnsi="Calibri"/>
          <w:b/>
          <w:color w:val="6E8450"/>
          <w:sz w:val="18"/>
        </w:rPr>
        <w:t>22,440 Employees · https://www.brookdale.com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Brookdale has executed a multi-year portfolio rationalization — selling 29 additional communities in 2026 generating ~$200M — while driving same-community occupancy to 83.5% weighted average and 84.5% spot rate at year-end 2025, but this is operational improvement rather than product innovation [1]. AI Deployment (1/2): The company deploys AI-powered fall detection cameras (UC Berkeley AI Research Lab) that notify staff in real-time and provide video review for prevention, plus robotic companion pets for dementia residents, representing practical but modest AI deployment [2]. Market Share (2/2): Brookdale is the largest senior living operator in the U.S. with ~546 communities, benefiting from massive demographic tailwinds — first boomers turning 80 in 2026 with projected 100,000-unit demand-supply shortfall by 2027 and 400,000 by 2035 [1]. Pipeline (1/2): 2026 Investor Day targets $502-$516M Adjusted EBITDA with RevPAR growth of 8-9%, and BofA projects 15% annualized EBITDA growth for several years, but no new community development pipeline disclosed [1]. R&amp;D Intensity (0/1): As a senior living operator, Brookdale does not invest in formal R&amp;D; technology adoption is incremental rather than industry-leading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Brookdale's mission centers on enriching the lives of seniors, which is meaningful but generic for the industry — the company does not articulate a distinctive purpose beyond standard senior care provider language [2]. Community Impact (1/2): Brookdale operates 500+ Energy Star compliant communities and employs 22,440 people, providing essential elder care services, though quality-of-care controversies have tarnished its community reputation [3]. Employee Retention (1/2): Glassdoor rating of 3.7/5 for Executive Directors is above the 3.4 Healthcare industry average, with 3.8 for career opportunities, but 2.7 for work-life balance and D-rated executive team on Comparably suggest mixed employee experience [2]. Insider Buying (1/2): New CEO Nick Stengle (joined October 2025) from Gentiva brings fresh leadership perspective, and BofA and RBC analysts raised price targets ($15.50 and $17 respectively) reflecting institutional conviction, but no specific insider buying data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Brookdale's financial profile reflects a heavily leveraged turnaround play. D/E data unavailable from yfinance (likely due to negative equity), but the company targets net leverage below 6x by 2028, implying current leverage is substantially higher [1]. ROE of -308% reflects persistent net losses on a deeply negative equity base. Revenue of ~$3.2B grew modestly from $3.1B in 2024, but yfinance shows -4% recent revenue growth. Forward P/E of 547x reflects minimal near-term GAAP earnings ($0.025 forward EPS). Profit margin of -8.6% with expected net loss of ~$263M in 2025 including $71M in impairment charges [1]. However, Adjusted EBITDA of $458M (up from $386M) shows the underlying operating business is improving. RevPAR growth of 5.7% in 2025 and 8-9% guided for 2026 demonstrates pricing power. Liquidity floor cleared: 5.1M avg vol x $13.68 = $69.2M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Brookdale benefits from one of the strongest demographic tailwinds in any industry — the baby boomer aging wave creating 400,000 units of excess demand by 2035. New CEO Nick Stengle inherits a streamlined portfolio and rising occupancy, positioning the company for the infinite game of elder care, though legacy controversies and financial leverage constrain the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Caring for aging Americans is an intrinsically purposeful cause that will only grow more important as 10,000 baby boomers turn 65 daily. Brookdale's average resident moves in between ages 80-90, and the company serves a population with limited alternatives as the demand-supply gap widens to 400,000 units by 2035 [1]. The mission is validated by demographic necessity rather than corporate marketing.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3.7/5 for Executive Directors with 3.8 career opportunities score suggests reasonable employee satisfaction, but 2.7 work-life balance and D-rated executive team on Comparably reflect leadership challenges [2]. The CEO transition (third CEO in two years — Baier, Warren interim, Stengle) creates organizational instability. The Washington Post staffing algorithm controversy damaged frontline caregiver trust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Brookdale competes against Sunrise Senior Living, Five Star Senior Living, and a fragmented market of regional operators. As the largest U.S. operator, Brookdale sets the industry standard but also absorbs the most scrutiny — the quality-of-care lawsuits and data manipulation allegations provide lessons about the consequences of prioritizing efficiency over care quality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Brookdale has undergone nearly a decade of portfolio shrinking — from 1,000+ communities to ~517 after the 2026 planned dispositions — representing 'the final meaningful streamlining' according to CEO Stengle [1]. The pivot from growth-through-acquisition to operational excellence and deleveraging demonstrates strategic flexibility. The company's 3-pronged 2026 strategy (occupancy growth, pricing power, cost discipline) positions for the demographic demand wave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Stengle's Investor Day guidance of $502-$516M Adjusted EBITDA with mid-teen annualized growth targets shows confidence in the turnaround trajectory [1]. The decision to complete portfolio rationalization and target below 6x leverage by 2028 demonstrates long-term thinking. BofA (Buy, $15.50 PT) and RBC (Outperform, $17 PT) upgrades validate the strategic direction, though the 113% stock surge in 2025 has already priced in significant recovery expectations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Brookdale is the largest U.S. senior living operator entering the strongest demographic tailwind in its history — first boomers turning 80 in 2026 with NIC projecting a 100,000-unit demand-supply shortfall by 2027 growing to 400,000 by 2035 [1]. Same-community occupancy of 83.5% (84.5% spot) is climbing toward the mid-80s with 2026 RevPAR growth guided at 8-9%, driving Adjusted EBITDA guidance of $502-$516M (up from $458M in 2025) [1]. New CEO Nick Stengle from Gentiva brings healthcare operational expertise, and the portfolio is entering its 'final meaningful streamlining' at ~517 communities, allowing management to shift focus from asset sales to operational execution. BofA projects 15% annualized EBITDA growth for several years, and the Inspire score of 31 (ALIGNED) reflects positive elder care social impact [1].</w:t>
      </w:r>
    </w:p>
    <w:p>
      <w:pPr>
        <w:spacing w:after="120"/>
      </w:pPr>
      <w:r>
        <w:rPr>
          <w:rFonts w:ascii="Calibri" w:hAnsi="Calibri"/>
          <w:b w:val="0"/>
          <w:color w:val="3A4A28"/>
          <w:sz w:val="20"/>
        </w:rPr>
        <w:t>The bear case centers on financial fragility and execution risk. Brookdale remains unprofitable on a GAAP basis with an expected net loss of ~$263M in 2025, negative equity, and forward P/E of 547x [1]. Leverage targets of below 6x by 2028 imply current leverage is substantially higher, and 2026-27 debt refinancing creates near-term risk in a higher-rate environment. The stock surged 113% in 2025 — significant recovery may already be priced in at $13.68 [1]. Quality-of-care controversies persist: $29.3M in cumulative regulatory penalties, the California AG's $3.25M settlement for care quality misrepresentation, and the Washington Post investigation into understaffing algorithms damage brand reputation [2][3]. Labor challenges are acute — senior living faces chronic caregiver shortages with high turnover, and the staffing algorithm controversy suggests cost-cutting pressures conflict with care quality requirements. The company has cycled through three CEOs in two years (Baier, Warren interim, Stengle), creating strategic continuity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Baby boomer demographic wave — first boomers turning 80 in 2026 with 100,000-unit demand-supply shortfall by 2027 and 400,000 by 2035 driving secular occupancy and pricing growth [1]</w:t>
      </w:r>
    </w:p>
    <w:p>
      <w:pPr>
        <w:spacing w:before="40" w:after="40"/>
        <w:ind w:left="283"/>
      </w:pPr>
      <w:r>
        <w:rPr>
          <w:rFonts w:ascii="Calibri" w:hAnsi="Calibri"/>
          <w:b/>
          <w:color w:val="4A6B25"/>
          <w:sz w:val="20"/>
        </w:rPr>
        <w:t xml:space="preserve">2. </w:t>
      </w:r>
      <w:r>
        <w:rPr>
          <w:rFonts w:ascii="Calibri" w:hAnsi="Calibri"/>
          <w:b w:val="0"/>
          <w:color w:val="3A4A28"/>
          <w:sz w:val="20"/>
        </w:rPr>
        <w:t>2026 Adjusted EBITDA guidance of $502-$516M representing 10-13% growth, with BofA projecting mid-teen annualized growth for several years [1]</w:t>
      </w:r>
    </w:p>
    <w:p>
      <w:pPr>
        <w:spacing w:before="40" w:after="40"/>
        <w:ind w:left="283"/>
      </w:pPr>
      <w:r>
        <w:rPr>
          <w:rFonts w:ascii="Calibri" w:hAnsi="Calibri"/>
          <w:b/>
          <w:color w:val="4A6B25"/>
          <w:sz w:val="20"/>
        </w:rPr>
        <w:t xml:space="preserve">3. </w:t>
      </w:r>
      <w:r>
        <w:rPr>
          <w:rFonts w:ascii="Calibri" w:hAnsi="Calibri"/>
          <w:b w:val="0"/>
          <w:color w:val="3A4A28"/>
          <w:sz w:val="20"/>
        </w:rPr>
        <w:t>Portfolio rationalization completing in 2026 (~517 communities remaining), shifting management focus to operational execution and same-community performance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 refinancing risk in 2026-27 with elevated leverage in a higher interest rate environment — targeting below 6x by 2028 implies current leverage significantly above that level [1]</w:t>
      </w:r>
    </w:p>
    <w:p>
      <w:pPr>
        <w:spacing w:before="40" w:after="40"/>
        <w:ind w:left="283"/>
      </w:pPr>
      <w:r>
        <w:rPr>
          <w:rFonts w:ascii="Calibri" w:hAnsi="Calibri"/>
          <w:b/>
          <w:color w:val="4A6B25"/>
          <w:sz w:val="20"/>
        </w:rPr>
        <w:t xml:space="preserve">2. </w:t>
      </w:r>
      <w:r>
        <w:rPr>
          <w:rFonts w:ascii="Calibri" w:hAnsi="Calibri"/>
          <w:b w:val="0"/>
          <w:color w:val="3A4A28"/>
          <w:sz w:val="20"/>
        </w:rPr>
        <w:t>Quality-of-care and regulatory exposure — $29.3M cumulative penalties, California AG settlement, staffing algorithm controversy, and ADA lawsuit history create ongoing legal and reputational risk [3]</w:t>
      </w:r>
    </w:p>
    <w:p>
      <w:pPr>
        <w:spacing w:before="40" w:after="40"/>
        <w:ind w:left="283"/>
      </w:pPr>
      <w:r>
        <w:rPr>
          <w:rFonts w:ascii="Calibri" w:hAnsi="Calibri"/>
          <w:b/>
          <w:color w:val="4A6B25"/>
          <w:sz w:val="20"/>
        </w:rPr>
        <w:t xml:space="preserve">3. </w:t>
      </w:r>
      <w:r>
        <w:rPr>
          <w:rFonts w:ascii="Calibri" w:hAnsi="Calibri"/>
          <w:b w:val="0"/>
          <w:color w:val="3A4A28"/>
          <w:sz w:val="20"/>
        </w:rPr>
        <w:t>Labor market pressure — chronic caregiver shortages with high turnover in senior living, compounded by rising wages, could compress the Adjusted EBITDA margin improvement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Senior living is an inherently human-touch business — elderly residents require physical care, emotional support, and community engagement that AI cannot replace [2]. Brookdale's core service delivery depends on caregivers, not algorithms. However, the Washington Post investigation into Brookdale's 'Service Alignment' staffing algorithm — which reportedly underestimated care needs and contributed to understaffing — illustrates the risk of AI misapplication in care settings [2]. AI is primarily an enabler for fall detection, predictive analytics, and operational efficiency, but the staffing algorithm controversy shows technology can backfire when it overrides human judgment in healthcare. AI Opportunity (1/1): AI-powered fall detection, predictive health monitoring, and operational optimization represent genuine opportunities to improve care quality and reduce costs as the industry faces a 100,000-unit supply shortfall by 2027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Brookdale Senior Living Preliminary 2025 Results and 2026 Guidance — $3.2B revenue, $458M Adj. EBITDA, $502-$516M 2026 guide, 83.5% occupancy, Investor Day, January-February 2026</w:t>
      </w:r>
    </w:p>
    <w:p>
      <w:pPr>
        <w:spacing w:before="20" w:after="20"/>
        <w:ind w:left="170"/>
      </w:pPr>
      <w:r>
        <w:rPr>
          <w:rFonts w:ascii="Calibri" w:hAnsi="Calibri"/>
          <w:b/>
          <w:color w:val="4A6B25"/>
          <w:sz w:val="15"/>
        </w:rPr>
        <w:t xml:space="preserve">2. </w:t>
      </w:r>
      <w:r>
        <w:rPr>
          <w:rFonts w:ascii="Calibri" w:hAnsi="Calibri"/>
          <w:b w:val="0"/>
          <w:color w:val="3A4A28"/>
          <w:sz w:val="17"/>
        </w:rPr>
        <w:t>Brookdale Leadership, Culture, and AI — CEO Nick Stengle appointment, Glassdoor reviews, Washington Post staffing algorithm investigation, AI fall detection deployment, 2024-2026</w:t>
      </w:r>
    </w:p>
    <w:p>
      <w:pPr>
        <w:spacing w:before="20" w:after="20"/>
        <w:ind w:left="170"/>
      </w:pPr>
      <w:r>
        <w:rPr>
          <w:rFonts w:ascii="Calibri" w:hAnsi="Calibri"/>
          <w:b/>
          <w:color w:val="4A6B25"/>
          <w:sz w:val="15"/>
        </w:rPr>
        <w:t xml:space="preserve">3. </w:t>
      </w:r>
      <w:r>
        <w:rPr>
          <w:rFonts w:ascii="Calibri" w:hAnsi="Calibri"/>
          <w:b w:val="0"/>
          <w:color w:val="3A4A28"/>
          <w:sz w:val="17"/>
        </w:rPr>
        <w:t>Brookdale ESG and Controversies — $29.3M cumulative penalties, CA AG $3.25M settlement, ADA lawsuit, data manipulation allegations, Energy Star compliance,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BKD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