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BKR</w:t>
      </w:r>
      <w:r>
        <w:rPr>
          <w:rFonts w:ascii="Calibri" w:hAnsi="Calibri"/>
          <w:b/>
          <w:color w:val="1A2010"/>
          <w:sz w:val="40"/>
        </w:rPr>
        <w:t xml:space="preserve">  Baker Hughes Company</w:t>
      </w:r>
    </w:p>
    <w:p>
      <w:pPr>
        <w:spacing w:after="120"/>
      </w:pPr>
      <w:r>
        <w:rPr>
          <w:rFonts w:ascii="Calibri" w:hAnsi="Calibri"/>
          <w:b/>
          <w:color w:val="6E8450"/>
          <w:sz w:val="18"/>
        </w:rPr>
        <w:t>GROWTH SLEEVE · 2026-03-27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Baker Hughes is a global energy technology company providing equipment, services, and digital solutions for oil and gas, industrial, and energy transition markets. The company operates through Oilfield Services &amp; Equipment (OFSE) and Industrial &amp; Energy Technology (IET) segments, serving the full energy value chain.</w:t>
      </w:r>
    </w:p>
    <w:p>
      <w:r>
        <w:rPr>
          <w:rFonts w:ascii="Calibri" w:hAnsi="Calibri"/>
          <w:b/>
          <w:color w:val="6E8450"/>
          <w:sz w:val="18"/>
        </w:rPr>
        <w:t>56,000 Employees · https://www.bakerhughes.com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Baker Hughes leads energy technology innovation with its Cordant digital platform for industrial asset management, BakerHughesC3.ai enterprise AI solutions, and CarbonEdge CCUS digital monitoring system [1]. The IET segment's NovaLT gas turbines power behind-the-meter data center solutions, capturing the AI-driven electricity demand surge [2]. The company's 20% EBITDA margin target for 2026 in IET reflects successful technology-driven margin expansion, and the transition from oilfield services to diversified energy technology is well-advanced.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Lorenzo Simonelli has led Baker Hughes' transformation from a traditional oilfield services company to an 'energy technology company' with a purpose of making energy 'safer, cleaner, and more efficient' [1]. The company earned the Platts 'Energy Transition Award' and 'Chief Executive of the Year,' and its first Chief Sustainability Officer appointment signals institutional commitment [2]. Fortune's Top 5 Most Modern Boards recognition demonstrates governance leadership, though the company's oil and gas heritage creates ongoing ESG perception challenges.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Baker Hughes maintains a solid balance sheet with D/E of 35.3%, profit margin of 9.3%, and forward P/E of 21.5x [1]. Revenue was flat YoY at $27.7B, but adjusted EBITDA grew 5% to $4.83B with strong cash conversion generating $2.73B in free cash flow [2]. The 1.48% dividend yield with 35.4% payout ratio is well-covered, though earnings declined 13% YoY and ROE of 14.6% sits just below the 15% threshold. Management guides mid-single-digit EBITDA growth for 2026 with tariff headwinds of $100-200M.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Baker Hughes demonstrates mixed infinite game thinking — the bold transformation from oilfield services to energy technology company reflects long-term vision, and investments in CCUS, hydrogen, and geothermal position for energy transition. However, the company still generates the majority of revenue from traditional oil and gas services, and flat revenue growth suggests the transformation is gradual rather than decisive.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stated purpose of making energy 'safer, cleaner, and more efficient' is compelling and relevant across all energy transition scenarios [1]. The commitment to net-zero emissions and investment in CCUS, hydrogen, and geothermal technologies align purpose with strategic direction.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Baker Hughes invests in employee development and sustainability culture through the 'Carbon Out' engagement program and CSO appointment [2]. The company's Fortune Top 5 Modern Boards ranking signals progressive governance, though the 56,000-person workforce faces ongoing restructuring as the business mix shifts from OFSE to IET.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Baker Hughes competes with SLB and Halliburton in oilfield services while building differentiated positions in IET [1]. The competitive dynamic pushes technology innovation, and BKR's gas turbine and LNG equipment capabilities create defensible positions that pure-play oilfield rivals lack.</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Baker Hughes GE to an independent energy technology company, including portfolio divestitures and the IET segment buildout, demonstrates significant strategic flexibility [1]. The dual focus on traditional energy services and transition technologies hedges multiple energy future scenarios.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Simonelli's commitment to energy technology transformation requires conviction in a multi-year strategy that traditional oilfield investors may not value [1]. However, the pace of transformation is measured rather than bold, with OFSE still driving the majority of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Baker Hughes is transforming from a traditional oilfield services company into a diversified energy technology platform, with IET targeting 20% EBITDA margins in 2026 and robust order backlog from LNG equipment, gas turbines, and industrial applications [1]. The company generates $2.73B in free cash flow with a well-covered 1.48% dividend and conservative 35.3% D/E ratio, providing financial stability through energy cycles. The NovaLT gas turbine portfolio directly captures AI data center power demand — the fastest-growing energy end market — while CCUS and hydrogen technologies position for energy transition spending [2].</w:t>
      </w:r>
    </w:p>
    <w:p>
      <w:pPr>
        <w:spacing w:after="120"/>
      </w:pPr>
      <w:r>
        <w:rPr>
          <w:rFonts w:ascii="Calibri" w:hAnsi="Calibri"/>
          <w:b w:val="0"/>
          <w:color w:val="3A4A28"/>
          <w:sz w:val="20"/>
        </w:rPr>
        <w:t>The bear case is the elevated 21.5x forward P/E for a company with flat revenue growth and declining earnings (-25.6% YoY), suggesting the market already prices in the energy technology transformation premium [1]. Tariff headwinds of $100-200M in 2026 and OFSE segment softness from lower international rig counts could offset IET margin improvements. The energy services sector remains cyclical and sensitive to oil price volatility, and Baker Hughes' reliance on LNG project orders creates lumpy revenue that complicates forecasting [2]. Competition from SLB's digital transformation and Halliburton's cost leadership in OFSE squeezes market share in the legacy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IET segment achieving 20% EBITDA margin target in 2026, validating the energy technology transformation thesis and driving multiple expansion [1]</w:t>
      </w:r>
    </w:p>
    <w:p>
      <w:pPr>
        <w:spacing w:before="40" w:after="40"/>
        <w:ind w:left="283"/>
      </w:pPr>
      <w:r>
        <w:rPr>
          <w:rFonts w:ascii="Calibri" w:hAnsi="Calibri"/>
          <w:b/>
          <w:color w:val="4A6B25"/>
          <w:sz w:val="20"/>
        </w:rPr>
        <w:t xml:space="preserve">2. </w:t>
      </w:r>
      <w:r>
        <w:rPr>
          <w:rFonts w:ascii="Calibri" w:hAnsi="Calibri"/>
          <w:b w:val="0"/>
          <w:color w:val="3A4A28"/>
          <w:sz w:val="20"/>
        </w:rPr>
        <w:t>Data center power demand driving NovaLT gas turbine orders as global data center energy consumption doubles by 2030 [2]</w:t>
      </w:r>
    </w:p>
    <w:p>
      <w:pPr>
        <w:spacing w:before="40" w:after="40"/>
        <w:ind w:left="283"/>
      </w:pPr>
      <w:r>
        <w:rPr>
          <w:rFonts w:ascii="Calibri" w:hAnsi="Calibri"/>
          <w:b/>
          <w:color w:val="4A6B25"/>
          <w:sz w:val="20"/>
        </w:rPr>
        <w:t xml:space="preserve">3. </w:t>
      </w:r>
      <w:r>
        <w:rPr>
          <w:rFonts w:ascii="Calibri" w:hAnsi="Calibri"/>
          <w:b w:val="0"/>
          <w:color w:val="3A4A28"/>
          <w:sz w:val="20"/>
        </w:rPr>
        <w:t>LNG capacity additions (Golden Pass, Plaquemines, global projects) generating sustained equipment and service orders through 2027-2028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escalation beyond $100-200M estimated impact could compress IET margins and delay the 20% target achievement timeline [1]</w:t>
      </w:r>
    </w:p>
    <w:p>
      <w:pPr>
        <w:spacing w:before="40" w:after="40"/>
        <w:ind w:left="283"/>
      </w:pPr>
      <w:r>
        <w:rPr>
          <w:rFonts w:ascii="Calibri" w:hAnsi="Calibri"/>
          <w:b/>
          <w:color w:val="4A6B25"/>
          <w:sz w:val="20"/>
        </w:rPr>
        <w:t xml:space="preserve">2. </w:t>
      </w:r>
      <w:r>
        <w:rPr>
          <w:rFonts w:ascii="Calibri" w:hAnsi="Calibri"/>
          <w:b w:val="0"/>
          <w:color w:val="3A4A28"/>
          <w:sz w:val="20"/>
        </w:rPr>
        <w:t>Oil price decline below $60/barrel would trigger OFSE spending cuts, reducing the segment's contribution that still represents the majority of revenue [2]</w:t>
      </w:r>
    </w:p>
    <w:p>
      <w:pPr>
        <w:spacing w:before="40" w:after="40"/>
        <w:ind w:left="283"/>
      </w:pPr>
      <w:r>
        <w:rPr>
          <w:rFonts w:ascii="Calibri" w:hAnsi="Calibri"/>
          <w:b/>
          <w:color w:val="4A6B25"/>
          <w:sz w:val="20"/>
        </w:rPr>
        <w:t xml:space="preserve">3. </w:t>
      </w:r>
      <w:r>
        <w:rPr>
          <w:rFonts w:ascii="Calibri" w:hAnsi="Calibri"/>
          <w:b w:val="0"/>
          <w:color w:val="3A4A28"/>
          <w:sz w:val="20"/>
        </w:rPr>
        <w:t>LNG project delays or cancellations from permitting, cost inflation, or demand uncertainty could create order backlog risk and revenue shortfalls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strong enabler for Baker Hughes through its C3.ai partnership for enterprise-scale AI in energy operations, Cordant platform for predictive asset management, and digital twin technology for industrial optimization [1]. The company's NovaLT gas turbines directly benefit from AI data center power demand, and AI-driven drilling optimization reduces customer costs while expanding BKR's digital revenue streams [2]. The energy transition applications (CCUS, hydrogen) create new AI-enabled growth verticals.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Baker Hughes Q4 and Full Year 2025 Results, February 2026; Baker Hughes 2026 Guidance</w:t>
      </w:r>
    </w:p>
    <w:p>
      <w:pPr>
        <w:spacing w:before="20" w:after="20"/>
        <w:ind w:left="170"/>
      </w:pPr>
      <w:r>
        <w:rPr>
          <w:rFonts w:ascii="Calibri" w:hAnsi="Calibri"/>
          <w:b/>
          <w:color w:val="4A6B25"/>
          <w:sz w:val="15"/>
        </w:rPr>
        <w:t xml:space="preserve">2. </w:t>
      </w:r>
      <w:r>
        <w:rPr>
          <w:rFonts w:ascii="Calibri" w:hAnsi="Calibri"/>
          <w:b w:val="0"/>
          <w:color w:val="3A4A28"/>
          <w:sz w:val="17"/>
        </w:rPr>
        <w:t>Yahoo Finance — BKR key statistics, accessed March 2026; Baker Hughes Digital Annual Report; Sustainability Magazine — Baker Hughes profile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