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BKYI</w:t>
      </w:r>
      <w:r>
        <w:rPr>
          <w:rFonts w:ascii="Calibri" w:hAnsi="Calibri"/>
          <w:b/>
          <w:color w:val="1A2010"/>
          <w:sz w:val="40"/>
        </w:rPr>
        <w:t xml:space="preserve">  BIO-key International,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2026-04-08 · Inspire: 48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Security &amp; Protection Services · NCM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BIO-key International provides biometric authentication solutions including fingerprint and palm scanning for identity verification in enterprise and government markets.</w:t>
      </w:r>
    </w:p>
    <w:p>
      <w:r>
        <w:rPr>
          <w:rFonts w:ascii="Calibri" w:hAnsi="Calibri"/>
          <w:b/>
          <w:color w:val="6E8450"/>
          <w:sz w:val="18"/>
        </w:rPr>
        <w:t>https://www.bio-key.com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Revenue declined 15.1% YoY with losses deepening. AI Deployment (0/2): No AI products. Market Share (1/2): Niche biometric authentication player. Pipeline (0/2): None. R&amp;D Intensity (1/1): Above-average for size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Generic security mission. Community (0/2): None. Retention (0/2): 0 employees reported. Insider (1/2): Some activity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TRIGGERED: 3,333,180 × $0.58 = $1.93M barely above. D/E 9.2%, ROE -80.2%, profit margin -75.3%. Revenue declining with deep losses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Struggling micro-cap with declining revenue.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None (0→1)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None (0→2)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None (0→3)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Some pivot to enterprise (1→6)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None (0→2)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Biometric authentication provider with declining revenue and deep losses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AI disruption from facial recognition and multi-modal authentication threatens the core business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Government biometric contracts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Enterprise security adoption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Partnership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AI disruption from facial recognition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Revenue declining 15.1%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Deep losses with -80.2% ROE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HIGH RISK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(4/9): Biometric authentication faces AI disruption from facial recognition and multi-modal AI authentication systems [1]. AI Opportunity (0/1): None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48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Yahoo Finance / yfinance data for BKYI (BIO-key), retrieved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