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BLMN</w:t>
      </w:r>
      <w:r>
        <w:rPr>
          <w:rFonts w:ascii="Calibri" w:hAnsi="Calibri"/>
          <w:b/>
          <w:color w:val="1A2010"/>
          <w:sz w:val="40"/>
        </w:rPr>
        <w:t xml:space="preserve">  Bloomin' Brands, Inc.</w:t>
      </w:r>
    </w:p>
    <w:p>
      <w:pPr>
        <w:spacing w:after="120"/>
      </w:pPr>
      <w:r>
        <w:rPr>
          <w:rFonts w:ascii="Calibri" w:hAnsi="Calibri"/>
          <w:b/>
          <w:color w:val="6E8450"/>
          <w:sz w:val="18"/>
        </w:rPr>
        <w:t>DIVIDEND SLEEVE · 2026-04-10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Bloomin' Brands owns and operates casual and fine dining restaurants including Outback Steakhouse, Carrabba's Italian Grill, Bonefish Grill, and Fleming's Prime Steakhouse &amp; Wine Bar. The company operates approximately 1,460 locations across the U.S. and international markets, primarily through company-owned and franchised restaurants.</w:t>
      </w:r>
    </w:p>
    <w:p>
      <w:r>
        <w:rPr>
          <w:rFonts w:ascii="Calibri" w:hAnsi="Calibri"/>
          <w:b/>
          <w:color w:val="6E8450"/>
          <w:sz w:val="18"/>
        </w:rPr>
        <w:t>64,000 Employees · https://www.bloominbrands.com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Bloomin' Brands has kept its restaurant count flat at approximately 1,460 locations over the past two years, with no meaningful new concepts launched or business model transformations; the sale of 51% of its Brazil operations in 2024 was a retrenchment rather than innovation [1]. AI Deployment (0/2): No evidence of AI-powered products or quantified internal AI-driven cost savings; the company has not discussed AI deployment in earnings calls or public filings. Market Share (1/2): Outback Steakhouse remains a recognizable casual dining brand, but the company is losing ground in a declining casual dining segment — Q4 CY2025 revenue of $975M was flat YoY and missed analyst estimates [1]. Pipeline (0/2): No next-generation restaurant concepts announced, no specific product innovation pipeline with launch dates. R&amp;D Intensity (1/1): The company invests in menu innovation and restaurant technology upgrades consistent with casual dining peers, including digital ordering and loyalty programs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Bloomin' Brands' stated vision is to foster 'a thriving culture where every Team Member feels appreciated, valued, and empowered to share their unique talents and insights,' which is clear but not distinctive — it could describe any hospitality company [2]. Community Impact (1/2): The company has general community engagement programs and local restaurant-level charitable activities, but lacks a distinctive, large-scale foundation or quantified philanthropic investment. Employee Retention (0/2): Glassdoor reviews indicate a cultural divide — positive culture in restaurants but concerns about frequent layoffs and reorganizations at the corporate Home Office level; new CEO Mike Spanos (appointed September 2024) represents the second leadership transition in recent years, creating instability [2]. Insider Buying (1/2): Recent insider purchases at $5.69 and $6.46 per share show some leadership conviction, though the dollar amounts are modest ($56,900 and $6,460)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Bloomin' Brands' financial profile is severely stressed. Debt-to-equity of 599.5% reflects a heavily leveraged balance sheet with $2.0B in total debt against minimal equity, scoring 0.0 on this metric [3]. Return on equity of 5.8% is well below the 15% target, scoring 0.39 [3]. Revenue growth is essentially flat at 0.3% YoY with a negative 5-year CAGR of approximately -0.4%, reflecting a stagnating business [1]. The one bright spot is the forward P/E of 6.3x, which scores perfectly against the sub-20 target, suggesting the market has priced in significant distress [3]. Profit margin of 0.2% is essentially breakeven, scoring near zero [3]. On dividend metrics, the company has 10 consecutive years of payments (scoring 1.0 at 2x weight) but cut its quarterly dividend from $0.24 to $0.15 in 2025, breaking its growth streak and resulting in a negative 5-year CAGR [3]. Trailing payout ratio exceeds 450% on $0.10 EPS, scoring 0.0. Liquidity floor cleared at $17.3M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Bloomin' Brands shows elements of infinite game thinking through its long restaurant heritage dating back to 1988, but frequent CEO transitions (Dave Deno to Mike Spanos in 2024), dividend cuts, stagnant location growth, and a retrenching international strategy suggest a company playing to survive rather than to endure. The focus appears to be on cost optimization and margin defense rather than building for the next generation of dining.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Bloomin' Brands articulates a people-centered vision but it reads as generic hospitality language rather than a bold, inspiring purpose that shapes strategic decisions. The original Outback Steakhouse founders had a distinctive entrepreneurial culture ('no rules, just right'), but this has diluted over decades of corporatization and leadership turnover. The purpose doesn't clearly differentiate from any other restaurant holding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64,000 employees and Glassdoor reviews indicate positive culture at the restaurant level where teams operate with relative autonomy [2]. However, the corporate Home Office faces trust challenges with frequent reorganizations, layoffs, and two CEO transitions in recent years, creating instability that erodes trust at the leadership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Bloomin' Brands competes in a segment with Darden Restaurants (Olive Garden, LongHorn Steakhouse), Texas Roadhouse, and fast-casual disruptors. Management has acknowledged competitors' strengths — Texas Roadhouse's value proposition and Darden's operational efficiency — and has attempted to learn from them through menu innovation and operational improvements rather than purely trying to 'beat'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Bloomin' Brands has not fundamentally reinvented itself in its 38-year history. It still operates the same four restaurant concepts with essentially the same casual dining model. The sale of 51% of its Brazil operations in 2024 was a retrenchment driven by financial pressure, not a strategic pivot toward a new vision. The company has been slow to adapt to fast-casual disruption and changing consumer preferences.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the Brazil operations and cut the dividend in 2025 required some difficult choices to stabilize the balance sheet, showing willingness to make painful near-term decisions [1]. However, these moves appear driven by financial necessity rather than proactive long-term vision. There is limited evidence of leadership making bold investments for future capability while forgoing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Bloomin' Brands trades at a distressed valuation of 6.3x forward earnings, implying significant upside if the turnaround under new CEO Mike Spanos gains traction. The company guides FY2026 EPS of $0.75-$0.90 with U.S. comparable restaurant sales growth of 0.5-2.5%, which if achieved would represent a meaningful improvement from the essentially flat recent performance [1]. The 9.9% dividend yield (now at $0.60 annually after the 2025 cut) provides income while waiting for recovery, and the $276M in operating cash flow demonstrates the business still generates meaningful cash despite thin margins. Outback Steakhouse remains a recognizable national brand with 64,000 employees and approximately 1,460 locations, providing a substantial physical infrastructure base.</w:t>
      </w:r>
    </w:p>
    <w:p>
      <w:pPr>
        <w:spacing w:after="120"/>
      </w:pPr>
      <w:r>
        <w:rPr>
          <w:rFonts w:ascii="Calibri" w:hAnsi="Calibri"/>
          <w:b w:val="0"/>
          <w:color w:val="3A4A28"/>
          <w:sz w:val="20"/>
        </w:rPr>
        <w:t>The bear case centers on structural decline in casual dining and a dangerously leveraged balance sheet. Debt-to-equity of 599% with $2.0B in debt against a $518M market cap means equity holders are deeply subordinated to creditors [3]. Profit margins of just 0.2% leave zero room for execution error — any downturn in traffic could push the company into losses. Revenue has declined from $4.17B in 2023 to $3.96B in 2025, reflecting the secular headwinds facing sit-down casual dining as consumers shift to fast-casual alternatives and delivery. The restaurant count has been flat for two years, indicating management sees no path to growth through expansion. The dividend cut from $0.96 to $0.60 annually signals financial strain, and even the reduced dividend consumes most of free cash flow ($20M FCF vs. ~$51M in annual dividends at the new rate). A second CEO transition in two years adds execution risk during a critical turnaround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CEO Mike Spanos' turnaround strategy with FY2026 comparable restaurant sales growth of 0.5-2.5% demonstrating stabilization of the core business [1]</w:t>
      </w:r>
    </w:p>
    <w:p>
      <w:pPr>
        <w:spacing w:before="40" w:after="40"/>
        <w:ind w:left="283"/>
      </w:pPr>
      <w:r>
        <w:rPr>
          <w:rFonts w:ascii="Calibri" w:hAnsi="Calibri"/>
          <w:b/>
          <w:color w:val="4A6B25"/>
          <w:sz w:val="20"/>
        </w:rPr>
        <w:t xml:space="preserve">2. </w:t>
      </w:r>
      <w:r>
        <w:rPr>
          <w:rFonts w:ascii="Calibri" w:hAnsi="Calibri"/>
          <w:b w:val="0"/>
          <w:color w:val="3A4A28"/>
          <w:sz w:val="20"/>
        </w:rPr>
        <w:t>Margin recovery from cost optimization and menu engineering — even a modest improvement from 0.2% to 3-4% profit margins would multiply EPS and support the stock at current valuations</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operating cash flow and proceeds from the Brazil divestiture, reducing the 599% D/E ratio and lowering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casual dining traffic as consumers shift to fast-casual (Chipotle, Sweetgreen) and delivery-first models that bypass the sit-down restaurant experience entirely [1]</w:t>
      </w:r>
    </w:p>
    <w:p>
      <w:pPr>
        <w:spacing w:before="40" w:after="40"/>
        <w:ind w:left="283"/>
      </w:pPr>
      <w:r>
        <w:rPr>
          <w:rFonts w:ascii="Calibri" w:hAnsi="Calibri"/>
          <w:b/>
          <w:color w:val="4A6B25"/>
          <w:sz w:val="20"/>
        </w:rPr>
        <w:t xml:space="preserve">2. </w:t>
      </w:r>
      <w:r>
        <w:rPr>
          <w:rFonts w:ascii="Calibri" w:hAnsi="Calibri"/>
          <w:b w:val="0"/>
          <w:color w:val="3A4A28"/>
          <w:sz w:val="20"/>
        </w:rPr>
        <w:t>Unsustainable capital structure with $2.0B in debt against $59M in cash — rising interest rates or a recession could trigger covenant violations or force a dilutive equity raise [3]</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Mike Spanos is only 18 months into the role following Dave Deno's departure, and any further leadership instability could derail turnaround execution during a fragile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Bloomin' Brands operates physical restaurants — customers visit for the dining experience, food quality, and social atmosphere, none of which can be replaced by AI. The core business involves physical-world operations (food preparation, hospitality, real estate management) that are structurally resistant to AI disruption [2]. However, AI-powered automation in kitchen operations, ordering kiosks, and delivery optimization from competitors could pressure margins and labor cost advantages. Casual dining also faces indirect AI disruption through AI-enhanced delivery platforms (DoorDash, Uber Eats) that shift dining occasions away from sit-down restaurants. AI Opportunity (1/1): Bloomin' Brands can deploy AI for demand forecasting, dynamic pricing, personalized marketing through its loyalty program, and kitchen workflow optimization — generating modest operational efficiencies typical of restaurant operators adopting AI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Bloomin' Brands Q4 CY2025 / FY2026 Earnings Release — $975M quarterly revenue, FY2026 EPS guidance $0.75-$0.90, February 2026</w:t>
      </w:r>
    </w:p>
    <w:p>
      <w:pPr>
        <w:spacing w:before="20" w:after="20"/>
        <w:ind w:left="170"/>
      </w:pPr>
      <w:r>
        <w:rPr>
          <w:rFonts w:ascii="Calibri" w:hAnsi="Calibri"/>
          <w:b/>
          <w:color w:val="4A6B25"/>
          <w:sz w:val="15"/>
        </w:rPr>
        <w:t xml:space="preserve">2. </w:t>
      </w:r>
      <w:r>
        <w:rPr>
          <w:rFonts w:ascii="Calibri" w:hAnsi="Calibri"/>
          <w:b w:val="0"/>
          <w:color w:val="3A4A28"/>
          <w:sz w:val="17"/>
        </w:rPr>
        <w:t>Bloomin' Brands corporate website — Executive Leadership, Our People, Our Commitment pages,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BLMN — key statistics and financial metrics,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World Benchmarking Alliance — Bloomin' Brands ESG Risk Rating and Food &amp; Agriculture Benchmark,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