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BMNR</w:t>
      </w:r>
      <w:r>
        <w:rPr>
          <w:rFonts w:ascii="Calibri" w:hAnsi="Calibri"/>
          <w:b/>
          <w:color w:val="1A2010"/>
          <w:sz w:val="40"/>
        </w:rPr>
        <w:t xml:space="preserve">  BitMine Immersion Technologies,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2026-03-23 · Inspire: 31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BitMine Immersion Technologies operates as a blockchain technology company focused on Ethereum treasury operations, BTC ecosystem services, and digital asset management. The company holds over 4.2 million ETH (3.5%+ of total Ethereum supply) and generated $400-430 million annually from staking operations.</w:t>
      </w:r>
    </w:p>
    <w:p>
      <w:r>
        <w:rPr>
          <w:rFonts w:ascii="Calibri" w:hAnsi="Calibri"/>
          <w:b/>
          <w:color w:val="6E8450"/>
          <w:sz w:val="18"/>
        </w:rPr>
        <w:t>3 Employees · https://bitminetech.io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BitMine's pivot to become a 'digital Berkshire-style' capital allocator with over 4.2 million ETH staked is a novel approach in the crypto space, and its MAVAN (Made-in-America Validator Network) staking infrastructure represents genuine technical innovation [1]. The company was the first large-cap crypto firm to declare a dividend, signaling institutional ambition [1]. However, the $200 million commitment to MrBeast's Beast Industries raises questions about capital allocation discipline.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Shareholder backlash at the annual meeting — absent executives, rushed presentations, unclear vote outcomes — exposed a sharp divide between management and investors [2]. The company has just 3 employees, making cultural assessment nearly impossible. Board Chairman Tom Lee's dual role at Fundstrat raises conflict-of-interest concerns, and three directors resigned in November 2025, adding governance uncertainty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BMNR reported nearly $8 billion in unrealized ETH losses after a price pullback, with EBITDA of -$236 million and EBITDA margin of -212% [1]. The Q1 FY2026 EPS of -$15.98 massively missed estimates, and the authorization of 50 billion shares signals extreme potential dilution [2]. Revenue of $2.29 million in Q1 missed estimates by $77 million, demonstrating extreme volatility tied entirely to crypto prices.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BitMine exhibits predominantly finite game characteristics — the concentration of 3.5% of all Ethereum in a single entity with 3 employees, contentious shareholder meetings, and speculative capital allocation to ventures like Beast Industries suggest a focus on short-term crypto market dynamics rather than building enduring value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BitMine's stated mission of democratizing Ethereum staking through its MAVAN network has some merit, but concentrating 3.5% of ETH supply in a single entity arguably undermines decentralization — the core value proposition of blockchain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Three director resignations in November 2025, the CEO transition from Jonathan Bates to Chi Tsang with $1.9 million severance, and shareholder meeting chaos suggest deep trust deficits at the governance level [2]. Operating with just 3 employees makes organizational culture effectively irrelevant.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BitMine competes with Lido, Coinbase, and Rocket Pool in Ethereum staking but differentiates through its treasury model and institutional backing from ARK, Founders Fund, and Pantera [1]. The competitive positioning is credible if governance stabilizes.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BTC mining to an ETH treasury company shows flexibility, but the extreme concentration in a single crypto asset creates fragility, not flexibility [1][2]. The company is essentially a leveraged bet on Ethereum prices.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Accumulating 4.2 million ETH (3.5% of supply) is bold but arguably reckless given the governance instability. Declaring the first crypto dividend was courageous, but the shareholder meeting debacle undermines credibility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BitMine offers asymmetric upside as a concentrated Ethereum play with 4.2 million ETH (~$14 billion at current prices) and $400-430 million in annual staking revenue, supported by institutional backers including ARK, Founders Fund, and Pantera [1]. At ~$21/share with analyst targets at $34.50, the stock offers significant discount to ETH-based NAV. The MAVAN staking infrastructure and first-ever crypto dividend signal institutional maturation, and the company trades $1.6 billion daily, ranking among the 50 most-traded US stocks.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severe: $8 billion in unrealized ETH losses demonstrate the extreme concentration risk of holding 3.5% of a single crypto asset [2]. Governance is unstable — three director resignations, CEO replacement, contentious shareholder meetings, and 50 billion authorized shares signal potential dilution. The $200 million Beast Industries commitment and pivot to 'digital Berkshire' strategy are untested. With just 3 employees, there is minimal operational depth to manage a $9.5 billion market cap entity, and any sustained ETH price decline could be existential.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MAVAN (Made-in-America Validator Network) launch in Q1 2026 could attract institutional staking capital and validate the infrastructure thesis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Ethereum price recovery toward $4,000+ would reverse ~$8 billion in unrealized losses and re-rate the stock toward $34.50 analyst target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Governance stabilization under new CEO Chi Tsang and reconstituted board could restore shareholder confidence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Ethereum price decline below $2,500 could trigger forced selling or margin calls on the $14 billion ETH position, creating a death spiral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Authorization of 50 billion shares creates extreme dilution risk — even modest issuance could devastate existing shareholders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SEC regulatory action against staking-as-a-security could fundamentally undermine BitMine's $400M annual staking revenue model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is tangentially relevant to BitMine's operations — the Ethereum staking model benefits from AI-optimized validator strategies, and the company's MAVAN infrastructure could serve AI-adjacent computing needs. However, the core business is a crypto treasury play where AI is neither a significant threat nor enabler. The real risk is smart contract automation reducing the need for intermediaries like BitMine.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BitMine Immersion Technologies FY25 Earnings Release and MAVAN Announcement,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Yahoo Finance — BMNR key statistics and shareholder meeting reporting,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B. Riley Securities analyst coverage on BMNR,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