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BMY</w:t>
      </w:r>
      <w:r>
        <w:rPr>
          <w:rFonts w:ascii="Calibri" w:hAnsi="Calibri"/>
          <w:b/>
          <w:color w:val="1A2010"/>
          <w:sz w:val="40"/>
        </w:rPr>
        <w:t xml:space="preserve">  Bristol-Myers Squibb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2026-03-24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Pharmaceuticals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Bristol-Myers Squibb is a global biopharmaceutical company focused on oncology, hematology, immunology, and cardiovascular disease. Under CEO Chris Boerner, the company has closed $30B in acquisitions over two years to build a post-patent-cliff pipeline targeting 10+ new medicines and 30+ launch opportunities by 2030. Full-year 2025 revenue of approximately $48.2B came in roughly flat as Growth Portfolio gains (Opdualag, Breyanzi, Reblozyl, Cobenfy) offset Revlimid erosion. The company pays a $2.52 annual dividend (4.14% yield) with 17 consecutive years of increases.</w:t>
      </w:r>
    </w:p>
    <w:p>
      <w:r>
        <w:rPr>
          <w:rFonts w:ascii="Calibri" w:hAnsi="Calibri"/>
          <w:b/>
          <w:color w:val="6E8450"/>
          <w:sz w:val="18"/>
        </w:rPr>
        <w:t>34,000 Employees · https://www.bms.com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 demonstrates strong innovation in drug R&amp;D. Track record (2/3): the company launched Cobenfy (schizophrenia), Opdualag (melanoma), Breyanzi (CAR-T cell therapy), and subcutaneous Opdivo Qvantig — multiple meaningful new drugs with distinct mechanisms of action and first-in-class profiles [1]. AI deployment (2/2): BMS's 'predict-first' AI/ML drug discovery strategy under Chief Research Officer Robert Plenge is generating specific deal activity — the October 2025 insitro partnership extension ($20M upfront, $2B potential milestones for ALS/FTD) represents AI-driven revenue generation and quantified cost commitments [2]. Market share (1/2): BMS holds leadership positions in multiple myeloma, T-cell engager biologics, and cardiovascular oncology, but faces generic competition eroding Revlimid and Eliquis [1]. Pipeline (2/2): six pivotal clinical readouts expected in 2026, with milvexian (factor Xia inhibitor), admilparant (pulmonary fibrosis), and two CELMoD agents specifically named with multi-billion-dollar potential [2]. R&amp;D intensity (0/1): BMS's R&amp;D spending is high but represents a standard large pharma percentage (~20% of revenue) rather than top-quartile intensity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BMS's mission — 'to discover, develop, and deliver innovative medicines that help patients prevail over serious diseases' — is patient-focused, specific, and has been consistently pursued through therapeutic breakthroughs over decades [3]. Community impact (1/2): BMS has documented patient access programs and a foundation providing financial assistance for medications, but specific charitable dollar amounts are not prominently cited relative to the company's size [3]. Employee retention (1/2): the 34,000-person organization maintains generally stable leadership under Boerner, but the $30B acquisition spree has created organizational complexity; no specific tenure data cited [2]. Insider buying (1/2): CEO Boerner joined BMS in 2023 and has built equity through compensation grants; no significant open-market purchases in 2025 were cited, though he maintains substantial equity ownership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BMY is a Dividend sleeve stock. Key metrics: D/E of 255% exceeds 70% target but is below 300% floor: score = (300-255)/(300-70) = 0.196. ROE of 40.44% far above 15% target (score = 1.0). Revenue growth YoY of -0.22% (score = (-0.22-(-20))/(10-(-20)) = 0.66). Revenue 5yr CAGR approximately 7% (score = (7-(-5))/(10-(-5)) = 0.80). Forward P/E of 9.75 far below target: score = 1.0. Profit margin of 12.57% (score = 12.57/20 = 0.63). Payout ratio approximately 37% (score = (100-37)/(100-40) = 1.05 → capped 1.0, ×1 weight). Consec years paid 25+ (score = 1.0, ×2 weight). Consec years growth 17 (score = 1.0). 5yr div growth CAGR of 6.24% (score = 6.24/6 = 1.04 → capped 1.0, ×2 weight). Weighted sum: D/E(0.196) + ROE(1.0) + RevYoY(0.66) + Rev5yr(0.80) + FwdPE(1.0) + Margin(0.63) + Payout(1.0) + ConsecPaid(1.0×2=2.0) + ConsecGrowth(1.0) + DivGrowth5yr(1.0×2=2.0) = 10.29/12 → score = 9. Debt concern constrains to 7 given the $44–49B acquisition debt.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BMS under Chris Boerner is navigating one of the most consequential transitions in pharmaceutical history — a patent cliff covering 64% of estimated revenue — through aggressive M&amp;A and AI-driven R&amp;D. The company's long dividend history (25 years) and 17 consecutive increases indicate an organization that plays long, but the $30B acquisition spree and financial leverage create near-term uncertainty.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BMS's Just Cause — helping patients prevail over serious diseases — has been consistently pursued through multiple leadership transitions and market cycles over 130+ years. The company's investments in oncology, immunology, and neuroscience reflect a patient-first orientation that consistently overrides short-term financial optimization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 maintains experienced scientific leadership (EVP/Chief Research Officer Robert Plenge's AI-driven R&amp;D strategy) and has managed the Celgene, Mirati, Karuna, and RayzeBio integrations simultaneously. The organization appears stable despite the transformative M&amp;A pace, but the complexity of managing $30B in deals creates integration risk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 explicitly acknowledges AbbVie, Merck, J&amp;J, and Roche as worthy rivals whose oncology and immunology pipelines push BMS to improve its own programs. The company's strategic shift to CELMoD agents and CAR-T therapy reflects learning from rivals' successes in checkpoint inhibitors and cell therapies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BMS's $30B acquisition program to replace Revlimid and Eliquis revenue represents existential flexibility — recognizing the patent cliff and proactively transforming the portfolio before the cliff arrives. The pivot to CAR-T (Breyanzi), protein degraders (CELMoD), and cardiovascular (milvexian) reflects strategic repositioning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$30B in acquisitions over two years while simultaneously repaying $10B+ in debt from the Celgene acquisition reflects significant balance sheet courage. The 'predict-first' AI R&amp;D strategy and early-stage bets (insitro, Orbital Therapeutics) represent investments in future capability over current earnings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Bristol-Myers Squibb trades at 9.75x forward earnings — a 40%+ discount to large-cap pharma peers — while generating $15B in projected 2026 free cash flow (10% FCF yield) and paying a 4.14% dividend with 17 consecutive increases. The patent cliff is real but widely known and priced in; the Growth Portfolio growing 15–16% in 2025 and six pivotal clinical readouts in 2026 (including the Iberdomide FDA decision in August 2026) provide multiple avenues for positive surprises. The $30B acquisition pipeline matures from 2026 to 2030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patent cliff is more severe than priced in: Eliquis European exclusivity expires May 2026, US generics hit April 2028, and Opdivo IV patents expire ~2028 — collectively exposing 64% of revenue to loss of exclusivity through 2030. If Growth Portfolio drugs underdeliver ($46–47.5B 2026 guidance leaves little room for error), the 40% discount to peers could widen further. The $44–49B acquisition debt requires sustained FCF to service, limiting financial flexibility. A failed Iberdomide FDA decision would materially impair the multiple myeloma franchise recovery thesis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Iberdomide FDA approval decision in August 2026 — first-in-class CELMoD agent for multiple myeloma; approval validates the post-Revlimid myeloma strategy and creates a new multi-billion-dollar revenue stream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Milvexian Phase 3 cardiovascular data — oral factor Xia inhibitor targeting the largest drug market in the world; positive data would be a transformative pipeline catalyst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Growth Portfolio crossing 60% of total revenue — removing the legacy portfolio majority dependence would allow revaluation toward growth pharma multiples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Patent cliff acceleration: Eliquis combined US/EU revenues of $10B+ face genericization starting late 2026 in Europe and 2028 in the US — this revenue cannot be fully replaced even with Growth Portfolio success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Pipeline binary risk: six pivotal readouts in 2026 increase the probability of at least one significant failure; any setback in the multiple myeloma or cardiovascular programs would reduce long-term earnings visibility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Debt service pressure: with $44–49B in acquisition debt and ongoing R&amp;D investment requirements, any revenue shortfall below the $46–47.5B 2026 guidance would create dividend coverage concerns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BMS's core pharmaceutical business — FDA-regulated biologics and small molecules requiring multi-year clinical trials, complex manufacturing, and physician prescription — is structurally resistant to AI disruption. AI cannot replace the regulatory approvals, clinical proof, or physician relationships that define pharmaceutical commercialization [1]. AI is, however, significantly accelerating BMS's own R&amp;D through the 'predict-first' strategy, potentially cutting development timelines by 30% [2]. AI Opportunity (1/1): the insitro partnership generating $20M upfront and $2B potential milestones represents quantified AI product revenue contribution to the R&amp;D engine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Bristol-Myers Squibb 2026 Guidance and Full Year 2025 Results, early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 — 'Bristol Myers Squibb CEO Chris Boerner says company culture was missing piece of patent cliff plan,'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Bristol-Myers Squibb corporate website and mission statement — bms.com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BMY statistics and valuation,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BioSpace — 'JPM26: BMS's Early-Stage Bets Are Happening Now,' January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