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BNL</w:t>
      </w:r>
      <w:r>
        <w:rPr>
          <w:rFonts w:ascii="Calibri" w:hAnsi="Calibri"/>
          <w:b/>
          <w:color w:val="1A2010"/>
          <w:sz w:val="40"/>
        </w:rPr>
        <w:t xml:space="preserve">  Broadstone Net Lease, Inc.</w:t>
      </w:r>
    </w:p>
    <w:p>
      <w:pPr>
        <w:spacing w:after="120"/>
      </w:pPr>
      <w:r>
        <w:rPr>
          <w:rFonts w:ascii="Calibri" w:hAnsi="Calibri"/>
          <w:b/>
          <w:color w:val="6E8450"/>
          <w:sz w:val="18"/>
        </w:rPr>
        <w:t>DIVIDEND SLEEVE · 2026-04-22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Diversified · NYSE · United States</w:t>
      </w:r>
    </w:p>
    <w:p>
      <w:pPr>
        <w:spacing w:after="80"/>
      </w:pPr>
      <w:r>
        <w:rPr>
          <w:rFonts w:ascii="Calibri" w:hAnsi="Calibri"/>
          <w:b w:val="0"/>
          <w:color w:val="3A4A28"/>
          <w:sz w:val="20"/>
        </w:rPr>
        <w:t>Broadstone Net Lease is an industrial-focused, diversified net lease REIT that invests in primarily single-tenant commercial real estate properties net leased on a long-term basis to a diversified group of tenants across industrial, healthcare, restaurant, and retail sectors.</w:t>
      </w:r>
    </w:p>
    <w:p>
      <w:r>
        <w:rPr>
          <w:rFonts w:ascii="Calibri" w:hAnsi="Calibri"/>
          <w:b/>
          <w:color w:val="6E8450"/>
          <w:sz w:val="18"/>
        </w:rPr>
        <w:t>62 Employees · https://www.broadstone.com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BNL has executed a disciplined acquisition strategy since its 2020 IPO, deploying $500-625M in planned 2026 investments, but the business model is unchanged — single-tenant net lease acquisitions with no transformative pivots [1][2]. AI Deployment (0/2): No AI-powered products or measurable AI-driven efficiency gains reported; the company operates a lean 62-person team focused on traditional real estate underwriting [3]. Market Share (1/2): BNL is a meaningful player in the diversified net lease space with $5.3B gross asset value and 99.8% occupancy, but trails larger peers like Realty Income and STORE Capital in scale and market presence [1]. Pipeline (1/2): The expanded build-to-suit pipeline and $500-625M 2026 investment guidance provide reasonable visibility into near-term growth, though pipeline specifics are limited [1]. R&amp;D Intensity (1/1): While REITs do not report traditional R&amp;D, BNL's investment in its underwriting platform and data-driven acquisition approach reflects appropriate sector-level spending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Broadstone's stated purpose centers on being a trusted partner for tenants and delivering consistent returns, which is clear but not distinctive — interchangeable with most net lease REITs [3]. Community Impact (1/2): BNL released its inaugural ESG report in 2023 and publishes annual sustainability reports covering GHG emissions and community engagement, though specific charitable dollar amounts or distinctive programs are not prominent [4]. Employee Retention (1/2): With only 62 employees, BNL operates a lean organization; CEO John Moragne's promotion from within (COO since 2018, CEO since March 2023) suggests internal development, though average management tenure of 2.6 years is modest [3]. Insider Buying (1/2): Recent insider transactions show stock awards granted to CEO Moragne (148,741 shares) and President Albano (111,557 shares) in March 2026, but these are compensation grants rather than open-market purchases — no meaningful net insider buying detected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BNL's financial profile reflects a stable but unexceptional net lease REIT. D/E of 83.1% is modestly above the 70% target but reasonable for the REIT sector [5]. ROE of 3.2% is low on a GAAP basis (REITs are better measured by AFFO), dragging the metric score down significantly. Revenue grew 5.5% YoY to $454M in 2025 with same-store rental revenue up 2.9% in Q4 [1]. Forward P/E of 26.4x is elevated versus net lease peers. Profit margin of 21.2% meets the target threshold. AFFO payout ratio of approximately 78% (based on $1.48 AFFO per share vs. $1.16 dividend) is above the 40% ideal but sustainable for a REIT [1]. The dividend has been paid for 6 consecutive years since the 2020 IPO with 4 years of consecutive growth, and 5yr dividend growth CAGR of 3.1% trails the 6% target [5]. Liquidity floor cleared: 2.5M avg volume × $20.14 = $50.7M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Broadstone Net Lease plays a moderately infinite game — the net lease model is inherently long-term (10-20 year leases), and the company's disciplined acquisition strategy prioritizes portfolio quality over growth at any cost. However, the company lacks a transformative Just Cause beyond generating shareholder returns, and its short public history limits evidence of existential flexibility or courageous leadership through adversity.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BNL's purpose is oriented around being a reliable capital partner for tenants and generating consistent income for shareholders — functional but not inspiring [3]. The net lease model is inherently long-term, but the company's articulated purpose does not describe a future state that invites sacrifice or goes beyond financial returns. It reads as a well-run financial enterprise, not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Moragne's internal promotion from General Counsel to COO to CEO over seven years demonstrates a promote-from-within culture [3]. The lean 62-person team suggests close working relationships. However, average management tenure of 2.6 years is short, and the March 2023 leadership transition is still relatively recent, limiting evidence of deep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BNL explicitly acknowledges larger net lease peers like Realty Income and NNN REIT as benchmarks, using their scale and cost-of-capital advantages as motivation to differentiate through industrial focus and build-to-suit capabilities rather than competing on size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BNL has evolved its portfolio mix since the 2020 IPO, increasing industrial exposure and reducing restaurant/retail concentration through selective dispositions of $75-100M annually [1]. The expanded build-to-suit pipeline represents a strategic shift from pure acquisition to development partnerships. These are incremental evolutions, not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BNL demonstrated discipline by maintaining conservative leverage and selective underwriting during the 2022-2023 rate spike when many REITs paused acquisitions, then resuming investment activity as conditions improved [1]. The 2026 guidance for $500-625M in investments shows willingness to deploy capital, though the company has not faced a true existential test of leadership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Broadstone Net Lease offers a defensible 5.8% dividend yield backed by 99.8% occupancy, $454M in trailing revenue, and AFFO growth guidance of approximately 4% for 2026 (AFFO of $1.53-$1.57 per share) [1]. The industrial-focused portfolio strategy differentiates BNL from diversified net lease peers, and the expanded build-to-suit pipeline provides development upside beyond pure acquisitions. Same-store rental revenue growth of 2.9% in Q4 2025 demonstrates embedded rent escalators, while $500-625M in planned 2026 investments should drive external growth [1]. At $20.14 per share, the stock trades at 13.6x 2026 AFFO guidance midpoint, a reasonable valuation for a mid-cap net lease REIT with improving fundamentals.</w:t>
      </w:r>
    </w:p>
    <w:p>
      <w:pPr>
        <w:spacing w:after="120"/>
      </w:pPr>
      <w:r>
        <w:rPr>
          <w:rFonts w:ascii="Calibri" w:hAnsi="Calibri"/>
          <w:b w:val="0"/>
          <w:color w:val="3A4A28"/>
          <w:sz w:val="20"/>
        </w:rPr>
        <w:t>The bear case centers on BNL's limited scale, modest growth trajectory, and REIT structural constraints. Revenue growth of 5.5% YoY and projected AFFO growth of ~4% trail higher-growth REIT peers, limiting total return potential beyond the dividend [1]. The 83% D/E ratio constrains balance sheet capacity for acquisitions, and rising interest rates would increase refinancing costs on the $2.3B debt stack. GAAP ROE of 3.2% reflects the capital-intensive nature of the business. Tenant concentration risk exists despite 200+ tenants — the top 10 tenants represent a meaningful portion of revenue. The dividend has been paid for only 6 years since the 2020 IPO, and the 3.1% dividend growth rate barely keeps pace with inflation. Competition for net lease properties from larger, better-capitalized REITs (Realty Income, STORE) compresses cap rates and limits acquisition quality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Expanded build-to-suit pipeline creating development-driven growth beyond traditional acquisitions, with $500-625M in 2026 investment guidance [1]</w:t>
      </w:r>
    </w:p>
    <w:p>
      <w:pPr>
        <w:spacing w:before="40" w:after="40"/>
        <w:ind w:left="283"/>
      </w:pPr>
      <w:r>
        <w:rPr>
          <w:rFonts w:ascii="Calibri" w:hAnsi="Calibri"/>
          <w:b/>
          <w:color w:val="4A6B25"/>
          <w:sz w:val="20"/>
        </w:rPr>
        <w:t xml:space="preserve">2. </w:t>
      </w:r>
      <w:r>
        <w:rPr>
          <w:rFonts w:ascii="Calibri" w:hAnsi="Calibri"/>
          <w:b w:val="0"/>
          <w:color w:val="3A4A28"/>
          <w:sz w:val="20"/>
        </w:rPr>
        <w:t>Industrial portfolio repositioning increasing exposure to logistics and manufacturing properties benefiting from reshoring and e-commerce trends [1]</w:t>
      </w:r>
    </w:p>
    <w:p>
      <w:pPr>
        <w:spacing w:before="40" w:after="40"/>
        <w:ind w:left="283"/>
      </w:pPr>
      <w:r>
        <w:rPr>
          <w:rFonts w:ascii="Calibri" w:hAnsi="Calibri"/>
          <w:b/>
          <w:color w:val="4A6B25"/>
          <w:sz w:val="20"/>
        </w:rPr>
        <w:t xml:space="preserve">3. </w:t>
      </w:r>
      <w:r>
        <w:rPr>
          <w:rFonts w:ascii="Calibri" w:hAnsi="Calibri"/>
          <w:b w:val="0"/>
          <w:color w:val="3A4A28"/>
          <w:sz w:val="20"/>
        </w:rPr>
        <w:t>Same-store rental revenue growth of 2-3% annually from embedded contractual rent escalators supporting organic AFFO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sensitivity — rising rates increase BNL's refinancing costs on $2.3B debt and compress property valuations, particularly at 83% D/E leverage [5]</w:t>
      </w:r>
    </w:p>
    <w:p>
      <w:pPr>
        <w:spacing w:before="40" w:after="40"/>
        <w:ind w:left="283"/>
      </w:pPr>
      <w:r>
        <w:rPr>
          <w:rFonts w:ascii="Calibri" w:hAnsi="Calibri"/>
          <w:b/>
          <w:color w:val="4A6B25"/>
          <w:sz w:val="20"/>
        </w:rPr>
        <w:t xml:space="preserve">2. </w:t>
      </w:r>
      <w:r>
        <w:rPr>
          <w:rFonts w:ascii="Calibri" w:hAnsi="Calibri"/>
          <w:b w:val="0"/>
          <w:color w:val="3A4A28"/>
          <w:sz w:val="20"/>
        </w:rPr>
        <w:t>Scale disadvantage versus larger net lease REITs (Realty Income at $70B+ market cap) limits BNL's cost of capital and competitive positioning for high-quality acquisitions [1]</w:t>
      </w:r>
    </w:p>
    <w:p>
      <w:pPr>
        <w:spacing w:before="40" w:after="40"/>
        <w:ind w:left="283"/>
      </w:pPr>
      <w:r>
        <w:rPr>
          <w:rFonts w:ascii="Calibri" w:hAnsi="Calibri"/>
          <w:b/>
          <w:color w:val="4A6B25"/>
          <w:sz w:val="20"/>
        </w:rPr>
        <w:t xml:space="preserve">3. </w:t>
      </w:r>
      <w:r>
        <w:rPr>
          <w:rFonts w:ascii="Calibri" w:hAnsi="Calibri"/>
          <w:b w:val="0"/>
          <w:color w:val="3A4A28"/>
          <w:sz w:val="20"/>
        </w:rPr>
        <w:t>Tenant credit risk in a potential recession — net lease REITs depend on tenant solvency to maintain the 99.8% occupancy rate, and industrial/restaurant tenants face cyclical pressure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Broadstone's core business — owning physical single-tenant commercial real estate with long-term net leases — is structurally immune to AI disruption [1]. AI cannot replace industrial warehouses, healthcare facilities, or restaurant buildings. The triple-net lease structure means tenants bear operating costs, leaving BNL as a pure real estate owner with contractual rent escalators that AI cannot displace. The 99.8% occupancy rate and diversified tenant base across 200+ tenants further insulate the business [1]. If anything, AI-driven growth in e-commerce and industrial automation increases demand for the industrial properties that comprise BNL's portfolio focus. AI Opportunity (0/1): BNL does not generate revenue from AI products or services; it is a passive landlord collecting rent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Broadstone Net Lease Business Update and 2026 Guidance, BusinessWire, December 2025</w:t>
      </w:r>
    </w:p>
    <w:p>
      <w:pPr>
        <w:spacing w:before="20" w:after="20"/>
        <w:ind w:left="170"/>
      </w:pPr>
      <w:r>
        <w:rPr>
          <w:rFonts w:ascii="Calibri" w:hAnsi="Calibri"/>
          <w:b/>
          <w:color w:val="4A6B25"/>
          <w:sz w:val="15"/>
        </w:rPr>
        <w:t xml:space="preserve">2. </w:t>
      </w:r>
      <w:r>
        <w:rPr>
          <w:rFonts w:ascii="Calibri" w:hAnsi="Calibri"/>
          <w:b w:val="0"/>
          <w:color w:val="3A4A28"/>
          <w:sz w:val="17"/>
        </w:rPr>
        <w:t>Broadstone Net Lease Q4 2025 Earnings Call Transcript — revenue beat, AFFO of $296.3M, Investing.com, February 2026</w:t>
      </w:r>
    </w:p>
    <w:p>
      <w:pPr>
        <w:spacing w:before="20" w:after="20"/>
        <w:ind w:left="170"/>
      </w:pPr>
      <w:r>
        <w:rPr>
          <w:rFonts w:ascii="Calibri" w:hAnsi="Calibri"/>
          <w:b/>
          <w:color w:val="4A6B25"/>
          <w:sz w:val="15"/>
        </w:rPr>
        <w:t xml:space="preserve">3. </w:t>
      </w:r>
      <w:r>
        <w:rPr>
          <w:rFonts w:ascii="Calibri" w:hAnsi="Calibri"/>
          <w:b w:val="0"/>
          <w:color w:val="3A4A28"/>
          <w:sz w:val="17"/>
        </w:rPr>
        <w:t>Broadstone Net Lease Leadership and About Us pages, broadstone.com,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Broadstone Net Lease Inaugural ESG Report and 2024 Sustainability Report, BusinessWire / broadstone.com</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BNL, retrieved April 22,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