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BNS</w:t>
      </w:r>
      <w:r>
        <w:rPr>
          <w:rFonts w:ascii="Calibri" w:hAnsi="Calibri"/>
          <w:b/>
          <w:color w:val="1A2010"/>
          <w:sz w:val="40"/>
        </w:rPr>
        <w:t xml:space="preserve">  Bank of Nova Scotia</w:t>
      </w:r>
    </w:p>
    <w:p>
      <w:pPr>
        <w:spacing w:after="120"/>
      </w:pPr>
      <w:r>
        <w:rPr>
          <w:rFonts w:ascii="Calibri" w:hAnsi="Calibri"/>
          <w:b/>
          <w:color w:val="6E8450"/>
          <w:sz w:val="18"/>
        </w:rPr>
        <w:t>DIVIDEND SLEEVE · 2026-04-19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The Bank of Nova Scotia (Scotiabank) is Canada's third-largest bank by assets, providing retail, commercial, corporate, and investment banking services across Canada, the United States, Mexico, Peru, Chile, Colombia, the Caribbean, and Central America. It operates through Canadian Banking, International Banking, Global Wealth Management, and Global Banking and Markets segments.</w:t>
      </w:r>
    </w:p>
    <w:p>
      <w:r>
        <w:rPr>
          <w:rFonts w:ascii="Calibri" w:hAnsi="Calibri"/>
          <w:b/>
          <w:color w:val="6E8450"/>
          <w:sz w:val="18"/>
        </w:rPr>
        <w:t>79,740 Employees · https://www.scotiabank.com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Scotiabank has executed a strategic pivot under CEO Scott Thomson, refocusing on North American markets (Canada, US, Mexico) and reducing Latin American exposure, but this is portfolio rebalancing rather than product innovation [1]. AI Deployment (2/2): Scotiabank launched Scotia Intelligence in April 2026, an enterprise AI solution handling 40%+ of contact center queries and processing 90% of commercial emails, cutting manual work by 70% — these are specific, quantified AI deployments [2]. Market Share (1/2): Third-largest Canadian bank with strong positions in Canadian retail and Pacific Alliance countries, but not gaining meaningful share in any segment against TD, RBC, or BMO [1]. Pipeline (0/2): No specific next-generation product launches announced with timelines; the bank's innovation is primarily operational efficiency through AI rather than new revenue-generating products [2]. R&amp;D Intensity (1/1): The bank has a dedicated Chief Strategy and Operating Officer overseeing AI innovation, and has invested significantly in data analytics and AI infrastructure relative to Canadian banking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Scotiabank's purpose — 'for every future' — is clear but not distinctive, identifying what the bank does (financial services) and for whom (customers' futures) without articulating a deeper transformative vision. It is a solid corporate purpose but interchangeable with many financial institutions [2]. Community Impact (1/2): Scotiabank maintains community investment programs across its operating markets, particularly in Latin America and the Caribbean, but specific charitable dollar amounts or distinctive programs were not prominently cited in recent disclosures [3]. Employee Retention (1/2): Glassdoor rating of 3.8/5 with 73% recommending to a friend is respectable for a large bank; 62% positive business outlook suggests reasonable but not exceptional employee engagement [2]. Insider Buying (0/2): The bank has been actively repurchasing shares (4.9M shares in Q1 2026 under NCIB), but individual insider buying data shows corporate buybacks rather than personal executive purchases — no meaningful net insider buying by named executives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Scotiabank's financial profile is strong for a diversified bank. Q1 FY2026 adjusted earnings of CAD $2.7B (EPS $2.05, +16% YoY) with revenue up 11% reflects broad-based growth across all four segments [1]. ROE of 13% (up 120 bps) is tracking ahead of the 14%+ medium-term target, and CET1 ratio of 13.3% provides ample capital buffer [1]. Forward P/E of 11.4x is attractive for a bank delivering double-digit earnings growth. Profit margin of 26.9% is strong for a diversified bank. Dividend yield of 4.15% with a 190+ year payment history (since 1833) demonstrates exceptional commitment to income, though the 5-year dividend CAGR of 2.4% (in USD) lags inflation. Payout ratio of 64.7% is manageable. Liquidity is excellent: 2.3M avg daily volume × $76.56 = $177.8M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Scotiabank under CEO Scott Thomson is executing a strategic pivot to refocus on North American markets while improving returns. The 190-year dividend history and patient capital allocation reflect infinite game characteristics, but the bank's strategic shifts have been driven more by competitive necessity than a deeply held Just Cause, and frequent leadership transitions limit long-term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Scotiabank's 'for every future' purpose connects financial services to long-term customer outcomes, and the 190+ year operating history demonstrates institutional endurance [1]. However, the frequent strategic pivots — from international diversification under prior CEOs to North American focus under Thomson — suggest the cause adapts to leadership preferences rather than guiding strategy consistently.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3.8/5 with 73% recommendation rate is adequate for a large bank but not exceptional [2]. The November 2025 management restructuring under Thomson, while positioning the bank well, indicates organizational change that can create uncertainty. Employees cite 'culture' and 'career development' as positives but 'management' as a negative, suggesting mixed trust signals.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Scotiabank's competitive language is primarily focused on benchmarking against Canadian peers (RBC, TD, BMO) on ROE and earnings metrics — a largely finite framing of 'winning' on financial performance. There is limited evidence of management citing what they learn from rivals or how competitive pressure makes them better.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Thomson's strategic pivot to refocus on North American markets — reducing exposure to underperforming Latin American operations — represents meaningful strategic evolution, though driven by competitive necessity (underperformance vs. peers) rather than cause-driven transformation [1]. The bank's aggressive AI adoption (Scotia Intelligence) shows willingness to evolve operational models.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Thomson took the unpopular step of writing down Latin American investments and refocusing the bank's geographic strategy, accepting near-term impairment charges for long-term portfolio improvement [1]. The CET1 ratio of 13.3% with active share buybacks during the transition shows capital allocation discipline. However, most decisions align with analyst recommendations rather than contrarian courage.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Scotiabank is delivering accelerating returns under CEO Scott Thomson's North American refocusing strategy. Q1 FY2026 adjusted EPS of CAD $2.05 (up 16% YoY) with 11% revenue growth across all four business segments demonstrates broad-based momentum [1]. ROE of 13% is tracking ahead of the 14%+ medium-term target 'one year ahead of plan,' and CET1 capital of 13.3% supports both share buybacks and growth investments [1]. At 11.4x forward P/E with a 4.15% dividend yield backed by 190 consecutive years of payments, BNS offers compelling income and value for dividend investors. The Scotia Intelligence AI platform is driving tangible operational efficiencies (40%+ of contact center queries automated, 70% reduction in commercial email processing), contributing to positive operating leverage [2].</w:t>
      </w:r>
    </w:p>
    <w:p>
      <w:pPr>
        <w:spacing w:after="120"/>
      </w:pPr>
      <w:r>
        <w:rPr>
          <w:rFonts w:ascii="Calibri" w:hAnsi="Calibri"/>
          <w:b w:val="0"/>
          <w:color w:val="3A4A28"/>
          <w:sz w:val="20"/>
        </w:rPr>
        <w:t>The bear case centers on credit risk and geographic concentration. Canadian consumer credit weakness — highlighted by management as the key variable for full-year outlook — could pressure provisions as Canadian household debt remains among the highest in the G7 [1]. The strategic pivot away from Latin America concentrates risk in Canada and Mexico, reducing diversification benefits that previously distinguished BNS from peers. ROE of 10.3% (GAAP) still lags RBC and TD, and the 5-year dividend growth CAGR of 2.4% (in USD) trails inflation, meaning real dividend income has eroded. Payout ratio of 64.7% limits dividend growth capacity. The Elbit Systems ESG controversy revealed reputational risk from the bank's investment decisions [3]. Trade tensions between Canada and the US under current tariff policies could pressure cross-border banking operations and the bank's US expansion ambitions.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ROE trajectory toward 14%+ medium-term target tracking one year ahead of plan, driven by sequential margin expansion in Canadian Banking and earnings diversification [1]</w:t>
      </w:r>
    </w:p>
    <w:p>
      <w:pPr>
        <w:spacing w:before="40" w:after="40"/>
        <w:ind w:left="283"/>
      </w:pPr>
      <w:r>
        <w:rPr>
          <w:rFonts w:ascii="Calibri" w:hAnsi="Calibri"/>
          <w:b/>
          <w:color w:val="4A6B25"/>
          <w:sz w:val="20"/>
        </w:rPr>
        <w:t xml:space="preserve">2. </w:t>
      </w:r>
      <w:r>
        <w:rPr>
          <w:rFonts w:ascii="Calibri" w:hAnsi="Calibri"/>
          <w:b w:val="0"/>
          <w:color w:val="3A4A28"/>
          <w:sz w:val="20"/>
        </w:rPr>
        <w:t>Scotia Intelligence AI platform scaling across the enterprise, driving operational efficiency gains and positive operating leverage as automation handles 40%+ of client interactions [2]</w:t>
      </w:r>
    </w:p>
    <w:p>
      <w:pPr>
        <w:spacing w:before="40" w:after="40"/>
        <w:ind w:left="283"/>
      </w:pPr>
      <w:r>
        <w:rPr>
          <w:rFonts w:ascii="Calibri" w:hAnsi="Calibri"/>
          <w:b/>
          <w:color w:val="4A6B25"/>
          <w:sz w:val="20"/>
        </w:rPr>
        <w:t xml:space="preserve">3. </w:t>
      </w:r>
      <w:r>
        <w:rPr>
          <w:rFonts w:ascii="Calibri" w:hAnsi="Calibri"/>
          <w:b w:val="0"/>
          <w:color w:val="3A4A28"/>
          <w:sz w:val="20"/>
        </w:rPr>
        <w:t>Share buyback program — 4.9M shares repurchased in Q1 2026 under NCIB — providing EPS accretion and capital return alongside the 4.15% dividend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consumer credit deterioration — household debt-to-income ratios near record highs create elevated provision risk if unemployment rises or housing corrects [1]</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risk — strategic exit from Latin America reduces diversification, concentrating exposure in Canada and Mexico where macro conditions are interconnected [1]</w:t>
      </w:r>
    </w:p>
    <w:p>
      <w:pPr>
        <w:spacing w:before="40" w:after="40"/>
        <w:ind w:left="283"/>
      </w:pPr>
      <w:r>
        <w:rPr>
          <w:rFonts w:ascii="Calibri" w:hAnsi="Calibri"/>
          <w:b/>
          <w:color w:val="4A6B25"/>
          <w:sz w:val="20"/>
        </w:rPr>
        <w:t xml:space="preserve">3. </w:t>
      </w:r>
      <w:r>
        <w:rPr>
          <w:rFonts w:ascii="Calibri" w:hAnsi="Calibri"/>
          <w:b w:val="0"/>
          <w:color w:val="3A4A28"/>
          <w:sz w:val="20"/>
        </w:rPr>
        <w:t>Dividend growth stagnation — 5-year USD dividend CAGR of 2.4% trails inflation, and 64.7% payout ratio limits capacity for meaningful acceleration without earnings growth exceeding expectations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heavily regulated with deep switching costs, physical branch infrastructure, and relationship-based commercial/corporate lending that AI cannot easily displace [2]. Scotiabank's core revenue streams — net interest income, wealth management fees, capital markets — require regulatory licenses and balance sheet capacity that fintech/AI competitors lack. However, retail banking faces incremental disruption from digital-first challengers and AI-powered lending platforms that could compress margins on commoditized products like mortgages and deposits. AI Opportunity (1/1): Scotia Intelligence (launched April 2026) is delivering quantified operational gains — AI handles 40%+ of contact center queries and processes 90% of commercial emails, reducing manual work by 70% [2]. These efficiency gains directly contribute to the bank's positive operating leverage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Scotiabank Q1 FY2026 Earnings Release — CAD $2.7B adjusted earnings, 11% revenue growth, 13% ROE, February 24, 2026</w:t>
      </w:r>
    </w:p>
    <w:p>
      <w:pPr>
        <w:spacing w:before="20" w:after="20"/>
        <w:ind w:left="170"/>
      </w:pPr>
      <w:r>
        <w:rPr>
          <w:rFonts w:ascii="Calibri" w:hAnsi="Calibri"/>
          <w:b/>
          <w:color w:val="4A6B25"/>
          <w:sz w:val="15"/>
        </w:rPr>
        <w:t xml:space="preserve">2. </w:t>
      </w:r>
      <w:r>
        <w:rPr>
          <w:rFonts w:ascii="Calibri" w:hAnsi="Calibri"/>
          <w:b w:val="0"/>
          <w:color w:val="3A4A28"/>
          <w:sz w:val="17"/>
        </w:rPr>
        <w:t>Scotiabank corporate communications — Scotia Intelligence AI launch, executive leadership, Glassdoor/Comparably ratings,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Scotiabank ESG Report and Elbit Systems divestiture — ESG strategy and controversies,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Scotiabank insider transactions — SEC filings via Yahoo Finance, corporate NCIB buyback program,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BNS (Bank of Nova Scotia),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