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BNTX</w:t>
      </w:r>
      <w:r>
        <w:rPr>
          <w:rFonts w:ascii="Calibri" w:hAnsi="Calibri"/>
          <w:b/>
          <w:color w:val="1A2010"/>
          <w:sz w:val="40"/>
        </w:rPr>
        <w:t xml:space="preserve">  BioNTech SE</w:t>
      </w:r>
    </w:p>
    <w:p>
      <w:pPr>
        <w:spacing w:after="120"/>
      </w:pPr>
      <w:r>
        <w:rPr>
          <w:rFonts w:ascii="Calibri" w:hAnsi="Calibri"/>
          <w:b/>
          <w:color w:val="6E8450"/>
          <w:sz w:val="18"/>
        </w:rPr>
        <w:t>GROWTH SLEEVE · 2026-05-01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Germany</w:t>
      </w:r>
    </w:p>
    <w:p>
      <w:pPr>
        <w:spacing w:after="80"/>
      </w:pPr>
      <w:r>
        <w:rPr>
          <w:rFonts w:ascii="Calibri" w:hAnsi="Calibri"/>
          <w:b w:val="0"/>
          <w:color w:val="3A4A28"/>
          <w:sz w:val="20"/>
        </w:rPr>
        <w:t>BioNTech SE is a next-generation immunotherapy company pioneering mRNA-based medicines for cancer and infectious diseases. The company developed the Pfizer-BioNTech COVID-19 vaccine (Comirnaty) and is now pivoting its platform toward a multi-product oncology franchise with 25+ Phase 2/3 clinical trials across lung, breast, GI, and other major tumor types.</w:t>
      </w:r>
    </w:p>
    <w:p>
      <w:r>
        <w:rPr>
          <w:rFonts w:ascii="Calibri" w:hAnsi="Calibri"/>
          <w:b/>
          <w:color w:val="6E8450"/>
          <w:sz w:val="18"/>
        </w:rPr>
        <w:t>7,807 Employees · https://www.biontech.de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BioNTech co-developed the first approved mRNA vaccine (Comirnaty), fundamentally validating the mRNA platform and generating $17.3B in peak revenue in 2022. The company is now executing a transformative pivot from a single COVID-19 product into a diversified oncology platform with 25+ Phase 2/3 trials across immunomodulators, antibody-drug conjugates, and mRNA cancer immunotherapies [1][2]. AI Deployment (2/2): BioNTech acquired InstaDeep in 2023, a leading AI company, and hosted its inaugural AI Day showcasing AI-driven drug discovery, protein design, and clinical trial optimization capabilities [3]. AI is directly integrated into R&amp;D workflows for individualized neoantigen vaccine design. Market Share Leadership (1/2): BioNTech remains a leader in mRNA vaccine technology but faces increasing competition from Moderna. In oncology, the company is an emerging entrant rather than a market leader, though its pipeline breadth is top-tier among clinical-stage oncology biotechs. Product Pipeline (2/2): Seven late-stage data readouts expected in 2026 with 15 Phase 3 trials to be ongoing by year-end, including pumitamig (BNT327) in multiple solid tumors and autogene cevumeran in colorectal cancer [1][2]. R&amp;D Intensity (0/1): R&amp;D spending of $2.2-2.5B against $2.0-2.3B in projected 2026 revenue means R&amp;D exceeds revenue — extraordinary intensity but also reflects an unsustainable burn rate.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BioNTech's mission to 'unleash the power of the immune system' against cancer and infectious disease is specific, deeply authentic to founders Ugur Sahin and Ozlem Tureci (both physician-immunologists), and has been validated by the COVID-19 vaccine development that saved millions of lives [4]. The mission connects science to human survival in a way few companies can claim. It hasn't yet been tested through a multi-decade leadership transition, though the announced co-founder departure will be that test. Community &amp; Charitable Impact (2/2): BioNTech delivered billions of COVID-19 vaccine doses globally including at-cost supply to developing nations, committed to 42% GHG reduction by 2030 (science-based targets), and maintains active corporate citizenship programs including charitable donations and community engagement [5]. Employee Retention (1/2): The specialized nature of mRNA research creates natural retention among scientific talent. CEO Sahin's academic culture emphasizes researcher ownership of full projects, fostering engagement [4]. However, the announced founder departure by end of 2026 introduces significant succession uncertainty. Insider Buying (1/2): Founders Sahin and Tureci maintain significant equity ownership and their decision to establish a new independent mRNA company while retaining BioNTech stakes reflects ongoing conviction in the platform, though the departure itself is a mixed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BioNTech has a fortress balance sheet with only 1.4% debt-to-equity ($267M debt against $19.2B equity) and $7.7B in cash, scoring perfectly on leverage [6]. However, every profitability and growth metric is deeply impaired: ROE is -5.9%, profit margin is -39.6%, and the forward P/E is negative (consensus expects continued losses through 2026). Revenue declined from $17.3B peak (2022) to $2.87B in 2025, yielding a -45% three-year CAGR. The company is spending more on R&amp;D ($2.2-2.5B) than its projected 2026 revenue ($2.0-2.3B), making profitability dependent on oncology pipeline success years away. Despite the poor current metrics, the $7.7B cash position provides a multi-year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BioNTech embodies many infinite-game principles under founders Sahin and Tureci — a deep scientific Just Cause, willingness to make transformative bets (mRNA platform, COVID vaccine, oncology pivot), and a research-driven culture that values long-term capability over short-term profits. The company is burning billions annually on R&amp;D despite having no near-term path to profitability, which reflects genuine long-term commitment. However, the announced departure of both co-founders by end of 2026 represents the single largest test of whether these infinite-game characteristics are institutional or personal.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BioNTech's purpose — to harness the immune system to fight cancer and infectious disease — meets every element of Sinek's Just Cause definition: it is resilient (endures beyond any single product), inclusive (invites global scientific collaboration), service-oriented (directly saves human lives), idealistic (envisions a world where cancer is defeated by personalized immunotherapy), and big (can never be fully achieved) [4]. The COVID-19 pandemic provided the ultimate validation — BioNTech's 20 years of mRNA research, originally pursued for cancer, was redirected to save millions of lives in a global crisis. This is a rare example of a Just Cause that has been proven by world-changing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Sahin's academic leadership style — giving researchers full ownership of projects rather than parceling out tasks — creates a high-trust environment for scientific innovation [4]. The InstaDeep acquisition brought in a complementary AI team that operates with significant autonomy. However, the announced founder departure introduces significant organizational uncertainty, and integrating 7,800 employees across Germany, the UK, and global operations through a leadership transition is a major trust challenge.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BioNTech's relationship with Moderna exemplifies Sinek's worthy rival concept — both companies push each other to advance mRNA technology faster, and BioNTech's competitive language focuses on scientific progress rather than market dominance. The partnership with Pfizer (a much larger company) demonstrates a collaborative rather than zero-sum competitive mindset. Management discussions reference advancing the science rather than beating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BioNTech has executed two transformative pivots in under five years: redirecting its entire mRNA cancer research platform to develop a COVID-19 vaccine in 2020 (sacrificing years of oncology focus for a global health emergency), and then pivoting again from a single-product COVID-19 company back to a diversified oncology platform with 25+ clinical trials [1][2]. The co-founders' decision to step down and establish a new next-generation mRNA company represents yet another existential bet. This pattern of reinvention driven by scientific purpose rather than financial optimization is textbook infinite-game behavior.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BioNTech is spending $2.2-2.5B annually on R&amp;D — more than its projected revenue — while sitting on $7.7B in cash, resisting pressure to return capital to shareholders through buybacks or dividends in favor of building a long-term oncology franchise [1]. This is a clear example of sacrificing short-term profitability for long-term capability. However, the courage is somewhat diminished by the $19B equity cushion that makes these investments less personally risky for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BioNTech is executing one of biotech's most ambitious platform pivots — transforming from a $17.3B single-product COVID-19 vaccine company into a diversified oncology franchise with 25+ Phase 2/3 trials and seven late-stage data readouts expected in 2026 [1][2]. The company's mRNA technology platform, augmented by InstaDeep's AI capabilities, represents potentially transformative immunotherapy approaches across lung, breast, GI, and other major cancers. With $7.7B in cash and only $267M in debt, BioNTech has a multi-year runway to fund this transformation even at a $2.5B annual R&amp;D burn rate. Morningstar's $177 fair value estimate implies 71% upside from current levels [2].</w:t>
      </w:r>
    </w:p>
    <w:p>
      <w:pPr>
        <w:spacing w:after="120"/>
      </w:pPr>
      <w:r>
        <w:rPr>
          <w:rFonts w:ascii="Calibri" w:hAnsi="Calibri"/>
          <w:b w:val="0"/>
          <w:color w:val="3A4A28"/>
          <w:sz w:val="20"/>
        </w:rPr>
        <w:t>The bear case is formidable: BioNTech is deeply unprofitable with -39.6% margins, burning over $1B annually in free cash, and does not anticipate any oncology revenue in 2026 [1]. COVID-19 vaccine revenue continues to decline and may fade below $1B as pandemic boosters become optional for most populations. The announced departure of both co-founders Sahin and Tureci by end of 2026 removes the visionary leadership that built the company and creates a succession risk unprecedented in BioNTech's history [4]. Oncology clinical development is notoriously risky — even a well-funded pipeline can produce disappointing Phase 3 results, and most oncology programs fail. At $26B market cap, the stock is priced for significant pipeline success that is far from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late-stage oncology data readouts in 2026, including pumitamig (BNT327) across multiple solid tumors, could validate the platform pivot and re-rate the stock toward Morningstar's $177 fair value</w:t>
      </w:r>
    </w:p>
    <w:p>
      <w:pPr>
        <w:spacing w:before="40" w:after="40"/>
        <w:ind w:left="283"/>
      </w:pPr>
      <w:r>
        <w:rPr>
          <w:rFonts w:ascii="Calibri" w:hAnsi="Calibri"/>
          <w:b/>
          <w:color w:val="4A6B25"/>
          <w:sz w:val="20"/>
        </w:rPr>
        <w:t xml:space="preserve">2. </w:t>
      </w:r>
      <w:r>
        <w:rPr>
          <w:rFonts w:ascii="Calibri" w:hAnsi="Calibri"/>
          <w:b w:val="0"/>
          <w:color w:val="3A4A28"/>
          <w:sz w:val="20"/>
        </w:rPr>
        <w:t>15 Phase 3 trials expected to be ongoing by year-end 2026, building the breadth needed for a multi-product oncology franchise with multiple shots on goal</w:t>
      </w:r>
    </w:p>
    <w:p>
      <w:pPr>
        <w:spacing w:before="40" w:after="40"/>
        <w:ind w:left="283"/>
      </w:pPr>
      <w:r>
        <w:rPr>
          <w:rFonts w:ascii="Calibri" w:hAnsi="Calibri"/>
          <w:b/>
          <w:color w:val="4A6B25"/>
          <w:sz w:val="20"/>
        </w:rPr>
        <w:t xml:space="preserve">3. </w:t>
      </w:r>
      <w:r>
        <w:rPr>
          <w:rFonts w:ascii="Calibri" w:hAnsi="Calibri"/>
          <w:b w:val="0"/>
          <w:color w:val="3A4A28"/>
          <w:sz w:val="20"/>
        </w:rPr>
        <w:t>InstaDeep AI integration accelerating drug discovery timelines and potentially reducing development costs across the 25+ clinical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Co-founders Ugur Sahin and Ozlem Tureci departing by end of 2026 to establish a new mRNA company, creating unprecedented leadership succession risk and potential loss of institutional vision</w:t>
      </w:r>
    </w:p>
    <w:p>
      <w:pPr>
        <w:spacing w:before="40" w:after="40"/>
        <w:ind w:left="283"/>
      </w:pPr>
      <w:r>
        <w:rPr>
          <w:rFonts w:ascii="Calibri" w:hAnsi="Calibri"/>
          <w:b/>
          <w:color w:val="4A6B25"/>
          <w:sz w:val="20"/>
        </w:rPr>
        <w:t xml:space="preserve">2. </w:t>
      </w:r>
      <w:r>
        <w:rPr>
          <w:rFonts w:ascii="Calibri" w:hAnsi="Calibri"/>
          <w:b w:val="0"/>
          <w:color w:val="3A4A28"/>
          <w:sz w:val="20"/>
        </w:rPr>
        <w:t>R&amp;D spend of $2.2-2.5B exceeds projected 2026 revenue of $2.0-2.3B, and oncology pipeline failures could force painful restructuring before commercial revenues materialize</w:t>
      </w:r>
    </w:p>
    <w:p>
      <w:pPr>
        <w:spacing w:before="40" w:after="40"/>
        <w:ind w:left="283"/>
      </w:pPr>
      <w:r>
        <w:rPr>
          <w:rFonts w:ascii="Calibri" w:hAnsi="Calibri"/>
          <w:b/>
          <w:color w:val="4A6B25"/>
          <w:sz w:val="20"/>
        </w:rPr>
        <w:t xml:space="preserve">3. </w:t>
      </w:r>
      <w:r>
        <w:rPr>
          <w:rFonts w:ascii="Calibri" w:hAnsi="Calibri"/>
          <w:b w:val="0"/>
          <w:color w:val="3A4A28"/>
          <w:sz w:val="20"/>
        </w:rPr>
        <w:t>COVID-19 vaccine revenue continues to decline as pandemic demand normalizes, eroding the cash generation that funds the multi-billion dollar oncology development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Biotechnology drug development is protected from AI displacement by multi-year clinical trial requirements, FDA regulatory approval processes, and the irreducible complexity of human biology. AI cannot substitute for physical clinical trials, manufacturing of biological medicines, or regulatory submissions. BioNTech's proprietary mRNA platform technology represents deep scientific IP that AI tools cannot replicate. However, AI is increasingly used by competitors for drug discovery, potentially compressing BioNTech's competitive advantage in early-stage target identification. AI Opportunity (1/1): BioNTech generates meaningful AI-derived value through its 2023 acquisition of InstaDeep, which powers AI-driven drug discovery, protein engineering, and individualized neoantigen vaccine design across the pipeline [3]. The company hosted an inaugural AI Day demonstrating specific R&amp;D use cases, making AI a core R&amp;D capability rather than a peripheral tool.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BioNTech Q4 FY2025 Earnings Release and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BioNTech Strategic Business Update at J.P. Morgan Healthcare Conference, January 2026</w:t>
      </w:r>
    </w:p>
    <w:p>
      <w:pPr>
        <w:spacing w:before="20" w:after="20"/>
        <w:ind w:left="170"/>
      </w:pPr>
      <w:r>
        <w:rPr>
          <w:rFonts w:ascii="Calibri" w:hAnsi="Calibri"/>
          <w:b/>
          <w:color w:val="4A6B25"/>
          <w:sz w:val="15"/>
        </w:rPr>
        <w:t xml:space="preserve">3. </w:t>
      </w:r>
      <w:r>
        <w:rPr>
          <w:rFonts w:ascii="Calibri" w:hAnsi="Calibri"/>
          <w:b w:val="0"/>
          <w:color w:val="3A4A28"/>
          <w:sz w:val="17"/>
        </w:rPr>
        <w:t>BioNTech Inaugural AI Day — InstaDeep Capabilities and R&amp;D Use Cases, October 2024</w:t>
      </w:r>
    </w:p>
    <w:p>
      <w:pPr>
        <w:spacing w:before="20" w:after="20"/>
        <w:ind w:left="170"/>
      </w:pPr>
      <w:r>
        <w:rPr>
          <w:rFonts w:ascii="Calibri" w:hAnsi="Calibri"/>
          <w:b/>
          <w:color w:val="4A6B25"/>
          <w:sz w:val="15"/>
        </w:rPr>
        <w:t xml:space="preserve">4. </w:t>
      </w:r>
      <w:r>
        <w:rPr>
          <w:rFonts w:ascii="Calibri" w:hAnsi="Calibri"/>
          <w:b w:val="0"/>
          <w:color w:val="3A4A28"/>
          <w:sz w:val="17"/>
        </w:rPr>
        <w:t>BioNTech Company History and Co-Founder Transition Announcement, 2026</w:t>
      </w:r>
    </w:p>
    <w:p>
      <w:pPr>
        <w:spacing w:before="20" w:after="20"/>
        <w:ind w:left="170"/>
      </w:pPr>
      <w:r>
        <w:rPr>
          <w:rFonts w:ascii="Calibri" w:hAnsi="Calibri"/>
          <w:b/>
          <w:color w:val="4A6B25"/>
          <w:sz w:val="15"/>
        </w:rPr>
        <w:t xml:space="preserve">5. </w:t>
      </w:r>
      <w:r>
        <w:rPr>
          <w:rFonts w:ascii="Calibri" w:hAnsi="Calibri"/>
          <w:b w:val="0"/>
          <w:color w:val="3A4A28"/>
          <w:sz w:val="17"/>
        </w:rPr>
        <w:t>BioNTech Sustainability Report and GHG Reduction Commitments, 2023</w:t>
      </w:r>
    </w:p>
    <w:p>
      <w:pPr>
        <w:spacing w:before="20" w:after="20"/>
        <w:ind w:left="170"/>
      </w:pPr>
      <w:r>
        <w:rPr>
          <w:rFonts w:ascii="Calibri" w:hAnsi="Calibri"/>
          <w:b/>
          <w:color w:val="4A6B25"/>
          <w:sz w:val="15"/>
        </w:rPr>
        <w:t xml:space="preserve">6. </w:t>
      </w:r>
      <w:r>
        <w:rPr>
          <w:rFonts w:ascii="Calibri" w:hAnsi="Calibri"/>
          <w:b w:val="0"/>
          <w:color w:val="3A4A28"/>
          <w:sz w:val="17"/>
        </w:rPr>
        <w:t>Yahoo Finance — BNTX key statistics and balance sheet,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