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BN</w:t>
      </w:r>
      <w:r>
        <w:rPr>
          <w:rFonts w:ascii="Calibri" w:hAnsi="Calibri"/>
          <w:b/>
          <w:color w:val="1A2010"/>
          <w:sz w:val="40"/>
        </w:rPr>
        <w:t xml:space="preserve">  Brookfield Corporation</w:t>
      </w:r>
    </w:p>
    <w:p>
      <w:pPr>
        <w:spacing w:after="120"/>
      </w:pPr>
      <w:r>
        <w:rPr>
          <w:rFonts w:ascii="Calibri" w:hAnsi="Calibri"/>
          <w:b/>
          <w:color w:val="6E8450"/>
          <w:sz w:val="18"/>
        </w:rPr>
        <w:t>GROWTH SLEEVE · 2026-03-31 · Inspire: 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Canada</w:t>
      </w:r>
    </w:p>
    <w:p>
      <w:pPr>
        <w:spacing w:after="80"/>
      </w:pPr>
      <w:r>
        <w:rPr>
          <w:rFonts w:ascii="Calibri" w:hAnsi="Calibri"/>
          <w:b w:val="0"/>
          <w:color w:val="3A4A28"/>
          <w:sz w:val="20"/>
        </w:rPr>
        <w:t>Brookfield Corporation is a global alternative asset manager with over $1 trillion in assets under management across real estate, infrastructure, renewable power, private equity, credit (via Oaktree Capital), and wealth solutions. The company invests its own capital alongside institutional and retail investors, focusing on real assets with long-duration cash flows. Led by CEO Bruce Flatt since 2002, Brookfield operates in 30+ countries.</w:t>
      </w:r>
    </w:p>
    <w:p>
      <w:r>
        <w:rPr>
          <w:rFonts w:ascii="Calibri" w:hAnsi="Calibri"/>
          <w:b/>
          <w:color w:val="6E8450"/>
          <w:sz w:val="18"/>
        </w:rPr>
        <w:t>https://www.bn.brookfield.com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Brookfield has executed multiple transformative moves over the past 5 years — acquiring majority stake in Oaktree Capital Management (2019), surpassing $1 trillion in AUM, launching Brookfield Wealth Solutions, and raising $112B in capital in 2025 alone [1]. Fee-bearing capital grew 12% to $603B with fee-related earnings up 22% to $3.0B [1]. AI Deployment (1/2): Brookfield is raising a $10-20B AI infrastructure fund with NVIDIA and Kuwait's sovereign wealth fund as anchor investors, building pre-leased data centers integrated with renewable power generation [2]. This is shipping infrastructure for AI, not an AI product itself. Market Share (2/2): Brookfield is the world's second-largest alternative asset manager and the largest owner-operator of renewable power and transition assets globally, with $188B of deployable capital at year-end 2025 [1][2]. Pipeline (2/2): Specific visibility includes Wealth Solutions targeting $200B insurance assets and $2B+ DE by end of 2026, the AI infrastructure fund at $5B raised toward $10-20B target, and planned corporate simplification via insurance entity merger [1][2]. R&amp;D Intensity (0/1): Not applicable to asset management — the firm invests in assets rather than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Brookfield's stated purpose centers on investing for the long term and enhancing value for partners and stakeholders — clear in what they do and for whom but not deeply inspirational or distinctive among asset managers [2]. Community Impact (1/2): Brookfield operates approximately 500 renewable energy assets and has committed to net-zero across operationally managed investments by 2050, though greenwashing allegations around Oaktree's fossil fuel emissions undermine the narrative [3]. The firm employs tens of thousands across portfolio companies. Employee Retention (1/2): Culture emphasizes meritocracy — promoting leaders to CEO roles in their 30s (Connor Teskey named CEO at 38), with Flatt's 35-year tenure and smooth succession planning suggesting organizational stability [2]. Insider Buying (1/2): Bruce Flatt has been described as 'Canada's Warren Buffett' partly due to his large personal investment in Brookfield; the company repurchased over $1B in Class A shares in 2025 [1][2].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Brookfield's financials reflect the complexity of a global asset manager with massive gross assets. D/E of 164% reflects $272.6B in total debt against a large asset base — elevated but typical for asset-intensive financial services [4]. ROE of just 1.95% is depressed by the enormous equity base and GAAP accounting that understates economic earnings (distributable earnings of $6.0B vs. $1.3B GAAP net income attributable) [1]. Revenue growth of 3.5% YoY is modest on the $77.7B revenue base. Forward P/E of 6.6× is extremely attractive, suggesting the market significantly undervalues forward earnings power [4]. Profit margin of 1.68% is misleadingly low due to GAAP treatment of investment income flows. Free cash flow is negative at -$4.6B due to capital deployment timing [4]. Liquidity floor cleared: 5.77M avg volume × $38.72 = $223.3M.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Brookfield under Bruce Flatt is a textbook infinite game player — 35 years of consistent value investing, patient capital deployment through cycles, and a willingness to transform the business as the world changes. The fact that 50% of Brookfield's current assets didn't exist as an asset class 10-15 years ago demonstrates existential flexibility in service of a durable cause. The multi-year succession from Flatt to Teskey exemplifies long-term organizational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Brookfield's cause — deploying patient capital into real assets that generate long-term value — has been validated by 30+ years of consistent execution through multiple crises (Asian financial crisis, dot-com bust, GFC, COVID, rate hiking cycle) [2]. Flatt's investment philosophy ('buy cash flows and proven technologies, but evolve') has shaped the company's identity. However, this is fundamentally a financial returns cause rather than a transformative vision for a better world — 2 points on the weighted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Brookfield's culture promotes leaders to CEO roles in their 30s, with Connor Teskey's appointment at 38 as the latest example of meritocratic succession [2]. Flatt described the CEO transition as 'merely matching title to substance,' reflecting gradual trust-building rather than disruptive change. The firm operates across 30+ countries with decentralized operations, requiring high-trust team dynamics. However, no specific employee satisfaction data or retention metrics were found — 1 point on the weighted scale.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Flatt explicitly acknowledges that 'if you don't evolve your investing skills, you fall behind' — framing competition as self-improvement rather than rival destruction [2]. Brookfield's acquisition of Oaktree Capital (Howard Marks) showed willingness to partner with a worthy rival rather than compete against them. The firm studies cycles and adapts rather than seeking to dominate through aggression — 1 point on the weighted scale.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Brookfield has fundamentally reinvented itself multiple times — from a Brazilian utility holding company to a global real estate operator to a $1T+ alternative asset manager spanning infrastructure, renewable power, private equity, credit, and wealth solutions [2]. Flatt noted that '50% of the assets Brookfield owns today didn't exist as an asset class 10-15 years ago.' The current pivots toward AI infrastructure and wealth solutions represent the latest existential flexion — 2 points on the weighted scale.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Brookfield has repeatedly invested heavily during downturns when others retreated — deploying capital through the GFC into distressed real estate, building the world's largest renewable power portfolio before ESG investing became mainstream, and now committing $10-20B to AI infrastructure [1][2]. The planned corporate simplification (insurance entity merger) sacrifices structural complexity for long-term efficiency. Returning $1.6B to shareholders while investing $126B shows balanced courage — 2 points on the weighted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Brookfield Corporation delivered record distributable earnings of $6.0B in 2025 (up 11% per share), with fee-bearing capital growing 12% to $603B and fee-related earnings surging 22% to $3.0B [1]. The company raised $112B in capital, deployed $126B, and completed $91B in asset sales — demonstrating unmatched scale in alternative asset management. At a forward P/E of 6.6× against 20%+ targeted earnings growth, BN appears significantly undervalued relative to its earnings power [1][4]. The $10-20B AI infrastructure fund (NVIDIA as anchor), Wealth Solutions targeting $200B insurance assets by year-end 2026, and $188B of deployable capital provide multiple visible growth vectors. The 17% dividend increase signals management confidence in sustainable earnings growth [1].</w:t>
      </w:r>
    </w:p>
    <w:p>
      <w:pPr>
        <w:spacing w:after="120"/>
      </w:pPr>
      <w:r>
        <w:rPr>
          <w:rFonts w:ascii="Calibri" w:hAnsi="Calibri"/>
          <w:b w:val="0"/>
          <w:color w:val="3A4A28"/>
          <w:sz w:val="20"/>
        </w:rPr>
        <w:t>The bear case centers on financial complexity, leverage, and ESG credibility. Brookfield's $272.6B in total debt against a $87.6B market cap creates significant leverage risk if asset values decline or credit markets tighten [4]. GAAP financials are nearly impenetrable — trailing P/E of 79× vs forward P/E of 6.6× reflects the disconnect between GAAP net income ($1.3B) and distributable earnings ($6.0B), which complicates valuation for most investors [1][4]. Greenwashing allegations are material — Brookfield's 159M metric tons of CO2 equivalent annual emissions (including Oaktree) are nearly 14× higher than disclosed in sustainability reports, undermining the net-zero-by-2050 commitment and creating regulatory and reputational risk [3]. Revenue growth of 3.5% YoY on the consolidated entity is modest, and profit margin of 1.68% on GAAP basis makes the stock difficult for quantitative screens to identify. The stock trades 22% below its 52-week high ($49.57), reflecting market caution on financial complexity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infrastructure fund reaching $10-20B AUM with NVIDIA and sovereign wealth fund backing, generating long-duration fee income from pre-leased 20-year data center contracts [2]</w:t>
      </w:r>
    </w:p>
    <w:p>
      <w:pPr>
        <w:spacing w:before="40" w:after="40"/>
        <w:ind w:left="283"/>
      </w:pPr>
      <w:r>
        <w:rPr>
          <w:rFonts w:ascii="Calibri" w:hAnsi="Calibri"/>
          <w:b/>
          <w:color w:val="4A6B25"/>
          <w:sz w:val="20"/>
        </w:rPr>
        <w:t xml:space="preserve">2. </w:t>
      </w:r>
      <w:r>
        <w:rPr>
          <w:rFonts w:ascii="Calibri" w:hAnsi="Calibri"/>
          <w:b w:val="0"/>
          <w:color w:val="3A4A28"/>
          <w:sz w:val="20"/>
        </w:rPr>
        <w:t>Wealth Solutions scaling to $200B insurance assets and $2B+ distributable earnings by year-end 2026, establishing Brookfield as a major insurance asset management platform [1]</w:t>
      </w:r>
    </w:p>
    <w:p>
      <w:pPr>
        <w:spacing w:before="40" w:after="40"/>
        <w:ind w:left="283"/>
      </w:pPr>
      <w:r>
        <w:rPr>
          <w:rFonts w:ascii="Calibri" w:hAnsi="Calibri"/>
          <w:b/>
          <w:color w:val="4A6B25"/>
          <w:sz w:val="20"/>
        </w:rPr>
        <w:t xml:space="preserve">3. </w:t>
      </w:r>
      <w:r>
        <w:rPr>
          <w:rFonts w:ascii="Calibri" w:hAnsi="Calibri"/>
          <w:b w:val="0"/>
          <w:color w:val="3A4A28"/>
          <w:sz w:val="20"/>
        </w:rPr>
        <w:t>Corporate simplification through insurance entity merger — streamlining structure should improve investor accessibility and potentially drive multiple expansion from the current 6.6× forward P/E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Financial complexity obscures true earnings power — GAAP reporting dramatically understates economic performance, limiting institutional buying and creating persistent valuation discount [1][4]</w:t>
      </w:r>
    </w:p>
    <w:p>
      <w:pPr>
        <w:spacing w:before="40" w:after="40"/>
        <w:ind w:left="283"/>
      </w:pPr>
      <w:r>
        <w:rPr>
          <w:rFonts w:ascii="Calibri" w:hAnsi="Calibri"/>
          <w:b/>
          <w:color w:val="4A6B25"/>
          <w:sz w:val="20"/>
        </w:rPr>
        <w:t xml:space="preserve">2. </w:t>
      </w:r>
      <w:r>
        <w:rPr>
          <w:rFonts w:ascii="Calibri" w:hAnsi="Calibri"/>
          <w:b w:val="0"/>
          <w:color w:val="3A4A28"/>
          <w:sz w:val="20"/>
        </w:rPr>
        <w:t>Greenwashing liability — 159M metric tons CO2e annually (14× disclosed levels including Oaktree) creates regulatory, litigation, and reputational risk as climate disclosure requirements tighten globally [3]</w:t>
      </w:r>
    </w:p>
    <w:p>
      <w:pPr>
        <w:spacing w:before="40" w:after="40"/>
        <w:ind w:left="283"/>
      </w:pPr>
      <w:r>
        <w:rPr>
          <w:rFonts w:ascii="Calibri" w:hAnsi="Calibri"/>
          <w:b/>
          <w:color w:val="4A6B25"/>
          <w:sz w:val="20"/>
        </w:rPr>
        <w:t xml:space="preserve">3. </w:t>
      </w:r>
      <w:r>
        <w:rPr>
          <w:rFonts w:ascii="Calibri" w:hAnsi="Calibri"/>
          <w:b w:val="0"/>
          <w:color w:val="3A4A28"/>
          <w:sz w:val="20"/>
        </w:rPr>
        <w:t>Leverage concentration — $272.6B total debt requires continued access to capital markets and stable asset valuations; a credit cycle downturn could compress asset values and restrict refinancing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Brookfield's core business is owning and operating physical real assets — infrastructure, renewable power plants, real estate, and data centers — that AI structurally cannot displace [2]. CEO Flatt explicitly stated Brookfield focuses on 'real assets where we don't take any technology risk,' and that AI disruption in private credit (Brookfield's software exposure is 'very minimal') poses no systemic threat [2]. AI actually increases demand for Brookfield's assets: data centers require power (Brookfield is the world's largest renewable power operator), land, and infrastructure that Brookfield supplies. AI Opportunity (1/1): Brookfield is raising a $10-20B AI infrastructure fund with NVIDIA and Kuwait sovereign wealth fund as anchor investors, building pre-leased 20-year data center facilities integrated with renewable power generation [2]. This represents meaningful, quantifiable AI-linked revenue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Brookfield Corporation FY2025 earnings release — record $6.0B distributable earnings, $603B fee-bearing capital, 17% dividend increase, February 12, 2026</w:t>
      </w:r>
    </w:p>
    <w:p>
      <w:pPr>
        <w:spacing w:before="20" w:after="20"/>
        <w:ind w:left="170"/>
      </w:pPr>
      <w:r>
        <w:rPr>
          <w:rFonts w:ascii="Calibri" w:hAnsi="Calibri"/>
          <w:b/>
          <w:color w:val="4A6B25"/>
          <w:sz w:val="15"/>
        </w:rPr>
        <w:t xml:space="preserve">2. </w:t>
      </w:r>
      <w:r>
        <w:rPr>
          <w:rFonts w:ascii="Calibri" w:hAnsi="Calibri"/>
          <w:b w:val="0"/>
          <w:color w:val="3A4A28"/>
          <w:sz w:val="17"/>
        </w:rPr>
        <w:t>Bloomberg / Globe and Mail / Knowledge Project — Bruce Flatt on AI infrastructure investment ($10-20B fund), Connor Teskey CEO succession, and Brookfield's strategic positioning, 2025-2026</w:t>
      </w:r>
    </w:p>
    <w:p>
      <w:pPr>
        <w:spacing w:before="20" w:after="20"/>
        <w:ind w:left="170"/>
      </w:pPr>
      <w:r>
        <w:rPr>
          <w:rFonts w:ascii="Calibri" w:hAnsi="Calibri"/>
          <w:b/>
          <w:color w:val="4A6B25"/>
          <w:sz w:val="15"/>
        </w:rPr>
        <w:t xml:space="preserve">3. </w:t>
      </w:r>
      <w:r>
        <w:rPr>
          <w:rFonts w:ascii="Calibri" w:hAnsi="Calibri"/>
          <w:b w:val="0"/>
          <w:color w:val="3A4A28"/>
          <w:sz w:val="17"/>
        </w:rPr>
        <w:t>PE Climate Risks — Brookfield's Climate Paradox: 159M metric tons CO2e annually including Oaktree vs disclosed sustainability report figures,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BN (Brookfield Corporation), retrieved March 31,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