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BOBS</w:t>
      </w:r>
      <w:r>
        <w:rPr>
          <w:rFonts w:ascii="Calibri" w:hAnsi="Calibri"/>
          <w:b/>
          <w:color w:val="1A2010"/>
          <w:sz w:val="40"/>
        </w:rPr>
        <w:t xml:space="preserve">  Bob's Discount Furniture, Inc.</w:t>
      </w:r>
    </w:p>
    <w:p>
      <w:pPr>
        <w:spacing w:after="120"/>
      </w:pPr>
      <w:r>
        <w:rPr>
          <w:rFonts w:ascii="Calibri" w:hAnsi="Calibri"/>
          <w:b/>
          <w:color w:val="6E8450"/>
          <w:sz w:val="18"/>
        </w:rPr>
        <w:t>GROWTH SLEEVE · 2026-04-23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NYSE · United States</w:t>
      </w:r>
    </w:p>
    <w:p>
      <w:pPr>
        <w:spacing w:after="80"/>
      </w:pPr>
      <w:r>
        <w:rPr>
          <w:rFonts w:ascii="Calibri" w:hAnsi="Calibri"/>
          <w:b w:val="0"/>
          <w:color w:val="3A4A28"/>
          <w:sz w:val="20"/>
        </w:rPr>
        <w:t>Bob's Discount Furniture is a value-oriented home furnishings retailer operating approximately 200 stores across the United States. The company sells living room furniture, bedroom sets, dining room furniture, mattresses, and home decor through retail stores and e-commerce. Founded in 1991 in Connecticut, Bob's completed its IPO in February 2026 at $17 per share.</w:t>
      </w:r>
    </w:p>
    <w:p>
      <w:r>
        <w:rPr>
          <w:rFonts w:ascii="Calibri" w:hAnsi="Calibri"/>
          <w:b/>
          <w:color w:val="6E8450"/>
          <w:sz w:val="18"/>
        </w:rPr>
        <w:t>5,950 Employees · https://www.mybobs.com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Bob's grew revenue 16.8% to $2.37B in FY2025 and successfully completed its IPO in February 2026, raising $303M in net proceeds [1]. The company has expanded from a regional New England chain to approximately 200 stores across the U.S., demonstrating consistent execution in a difficult retail category. AI Deployment (0/2): No evidence of meaningful AI deployment beyond basic augmented reality visualization tools on the website allowing customers to preview furniture in their homes [2]. No quantified AI-driven revenue or cost savings. Market Share (1/2): Bob's has carved a distinctive niche in the value furniture segment, differentiating from both discount competitors (Big Lots, Rooms To Go) and premium retailers (Pottery Barn, Crate &amp; Barrel), with 7.7% comparable sales growth demonstrating share gains [1]. Pipeline (1/2): Management has announced plans to open approximately 20 new stores in FY2026, entering new markets including South Carolina and Tennessee, with a long-term target of 500 stores by 2035 [1][2]. R&amp;D Intensity (1/1): For a furniture retailer, Bob's invests meaningfully in digital capabilities and store format innovation, with dedicated VP of CX &amp; Digital Innovation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Bob's purpose — making quality furniture attainable to everyone — is specific, thoughtful, and clearly guides strategic decisions including its low-pricing model, value positioning, and refusal to price-gouge during supply disruptions [2]. CEO Bill Barton has explicitly discussed being a steward of the company's culture as a core responsibility. Community Impact (1/2): Bob's charitable programs include the Bob's Outreach program and community furniture donations, though specific dollar amounts are not prominently disclosed. The company was recognized by Newsweek's America's Greatest Workplaces for Diversity [2]. Employee Retention (1/2): Barton emphasizes cultural replication as the company expands, with experienced employees transferring to new stores to 'bring the seeds of culture' [2]. The company has maintained a motivated team aligned with the value mission, though retail turnover data is not disclosed. Insider Buying (1/2): As a February 2026 IPO, insider buying patterns are limited. However, management retained significant equity stakes post-IPO, and the use of IPO proceeds to prepay $350M in debt signals financial discipline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Bob's financial profile shows strong unit economics but a leveraged capital structure from its pre-IPO private equity ownership. Revenue of $2.37B grew 16.8% YoY with 7.7% comparable sales growth, demonstrating organic demand [1]. Forward P/E of 11.4x is reasonable for a retailer with a long store growth runway. ROE of 38.8% is excellent but inflated by the high D/E of 718.6% (score 0), which reflects LBO-era debt — post-IPO debt paydown of $350M is improving the balance sheet [1]. Profit margin of 5.1% is thin for retail but consistent with the value furniture model. Adjusted EBITDA of $240.8M (10.2% of revenue) shows operational leverage. FY2026 guidance of $2.60-$2.625B revenue and $121-$129M adjusted net income implies continued growth [1]. Liquidity floor cleared at $18.0M daily turnover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Bob's demonstrates meaningful infinite game characteristics through its 35-year commitment to making quality furniture affordable and CEO Barton's explicit stewardship of company culture during rapid expansion. However, as a newly public company with private equity heritage, it remains to be seen whether the long-term orientation survives the quarterly earnings pressure of public markets.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Genuine cause, partially lived (2 points). Bob's purpose — making quality furniture attainable to everyone — is distinctive, specific, and has guided strategic decisions for over 30 years [2]. CEO Barton's explicit focus on being a cultural steward and the company's refusal to abandon value positioning during inflationary pressures demonstrate lived purpose. However, the company is newly public and the purpose hasn't been tested through the full cycle of public market pressure.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with positive signals (1 point). Barton emphasizes culture replication during expansion, with veteran employees transferring to new markets to seed the culture [2]. Newsweek workplace diversity recognition and the motivated team cited in leadership interviews suggest above-average trust. However, retail inherently involves high frontline turnover and limited data exists to quantify retention.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Finite competitive mindset (0 points). Bob's competitive positioning focuses on price differentiation — 'discount' is in the name — and competitive language centers on being cheaper than rivals rather than learning from them. No evidence of management referencing worthy rivals or using competitive dynamics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Limited flexibility demonstrated (0 points). Bob's has operated the same basic business model — discount furniture retail — for 35 years. The company has expanded geographically and added e-commerce, but has not fundamentally reinvented its business model or made a transformative strategic pivot. The IPO is a financial event, not a business model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evident (1 point). The decision to pursue an IPO and use proceeds to deleverage ($350M debt paydown) rather than fund growth-at-all-costs shows disciplined capital allocation [1]. CEO Barton's aggressive store growth target (200 to 500 stores by 2035) represents a significant long-term bet on the physical retail model when many peers are retrenching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Bob's Discount Furniture is a compelling value furniture retailer with a proven unit economic model — $2.37B revenue (16.8% growth), 10.2% adjusted EBITDA margins, and 7.7% comparable sales growth — that recently completed its IPO at $17 per share and now trades at $12.00, representing a 29% discount to IPO price [1]. The long-term store growth runway from 200 to 500 stores by 2035 provides visible multi-year revenue growth, and FY2026 guidance of $2.60-$2.625B revenue with ~20 new store openings demonstrates near-term momentum [1][2]. At 11.4x forward P/E with ROE of 38.8%, the valuation is attractive for a retailer with this growth profile and proven ability to replicate its model in new markets.</w:t>
      </w:r>
    </w:p>
    <w:p>
      <w:pPr>
        <w:spacing w:after="120"/>
      </w:pPr>
      <w:r>
        <w:rPr>
          <w:rFonts w:ascii="Calibri" w:hAnsi="Calibri"/>
          <w:b w:val="0"/>
          <w:color w:val="3A4A28"/>
          <w:sz w:val="20"/>
        </w:rPr>
        <w:t>The bear case centers on leverage, IPO overhang, and macro risk. D/E of 718.6% is extremely elevated despite the $350M post-IPO debt paydown, reflecting the private equity ownership history and creating significant interest expense drag on earnings [5]. The stock trades 29% below its $17 IPO price, suggesting post-IPO selling pressure and market skepticism. Profit margins of 5.1% are thin, leaving little buffer against tariff-driven cost increases or freight inflation. Furniture is highly cyclical and tied to housing activity — rising interest rates and declining existing home sales would directly compress Bob's comparable sales. The 5-year revenue CAGR of just 4.0% (excluding the strong FY2025) suggests growth is not consistent across cycles [5]. Competition from Wayfair's online model and IKEA's value positioning creates ongoing share pressure. As a newly public company, Bob's must prove it can maintain its culture and capital discipline under quarterly earnings scrutiny.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Store expansion plan of ~20 new stores in FY2026 entering South Carolina and Tennessee, with a long-term target of 500 stores by 2035 providing 150%+ unit growth runway [1][2]</w:t>
      </w:r>
    </w:p>
    <w:p>
      <w:pPr>
        <w:spacing w:before="40" w:after="40"/>
        <w:ind w:left="283"/>
      </w:pPr>
      <w:r>
        <w:rPr>
          <w:rFonts w:ascii="Calibri" w:hAnsi="Calibri"/>
          <w:b/>
          <w:color w:val="4A6B25"/>
          <w:sz w:val="20"/>
        </w:rPr>
        <w:t xml:space="preserve">2. </w:t>
      </w:r>
      <w:r>
        <w:rPr>
          <w:rFonts w:ascii="Calibri" w:hAnsi="Calibri"/>
          <w:b w:val="0"/>
          <w:color w:val="3A4A28"/>
          <w:sz w:val="20"/>
        </w:rPr>
        <w:t>Post-IPO deleveraging — $350M debt paydown from IPO proceeds reduces interest expense and improves free cash flow conversion [1]</w:t>
      </w:r>
    </w:p>
    <w:p>
      <w:pPr>
        <w:spacing w:before="40" w:after="40"/>
        <w:ind w:left="283"/>
      </w:pPr>
      <w:r>
        <w:rPr>
          <w:rFonts w:ascii="Calibri" w:hAnsi="Calibri"/>
          <w:b/>
          <w:color w:val="4A6B25"/>
          <w:sz w:val="20"/>
        </w:rPr>
        <w:t xml:space="preserve">3. </w:t>
      </w:r>
      <w:r>
        <w:rPr>
          <w:rFonts w:ascii="Calibri" w:hAnsi="Calibri"/>
          <w:b w:val="0"/>
          <w:color w:val="3A4A28"/>
          <w:sz w:val="20"/>
        </w:rPr>
        <w:t>FY2026 guidance of $2.60-$2.625B revenue and $121-$129M adjusted net income implies continued 10%+ topline growth and margin improvement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(D/E 718.6%) from private equity ownership creates refinancing risk and elevated interest expense that compresses net margins to 5.1% [5]</w:t>
      </w:r>
    </w:p>
    <w:p>
      <w:pPr>
        <w:spacing w:before="40" w:after="40"/>
        <w:ind w:left="283"/>
      </w:pPr>
      <w:r>
        <w:rPr>
          <w:rFonts w:ascii="Calibri" w:hAnsi="Calibri"/>
          <w:b/>
          <w:color w:val="4A6B25"/>
          <w:sz w:val="20"/>
        </w:rPr>
        <w:t xml:space="preserve">2. </w:t>
      </w:r>
      <w:r>
        <w:rPr>
          <w:rFonts w:ascii="Calibri" w:hAnsi="Calibri"/>
          <w:b w:val="0"/>
          <w:color w:val="3A4A28"/>
          <w:sz w:val="20"/>
        </w:rPr>
        <w:t>Housing market sensitivity — furniture demand is directly tied to existing home sales and consumer housing activity, which are pressured by elevated mortgage rates [1]</w:t>
      </w:r>
    </w:p>
    <w:p>
      <w:pPr>
        <w:spacing w:before="40" w:after="40"/>
        <w:ind w:left="283"/>
      </w:pPr>
      <w:r>
        <w:rPr>
          <w:rFonts w:ascii="Calibri" w:hAnsi="Calibri"/>
          <w:b/>
          <w:color w:val="4A6B25"/>
          <w:sz w:val="20"/>
        </w:rPr>
        <w:t xml:space="preserve">3. </w:t>
      </w:r>
      <w:r>
        <w:rPr>
          <w:rFonts w:ascii="Calibri" w:hAnsi="Calibri"/>
          <w:b w:val="0"/>
          <w:color w:val="3A4A28"/>
          <w:sz w:val="20"/>
        </w:rPr>
        <w:t>Post-IPO execution risk — maintaining cultural coherence and value positioning while scaling from 200 to 500 stores requires significant management bandwidth and capital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Bob's core business — selling physical furniture through brick-and-mortar stores with a value proposition built on price, in-store experience, and delivery logistics — is largely protected from AI substitution. Customers need to sit on couches, test mattresses, and visualize pieces in their spaces, creating a physical moat that AI cannot replicate [2]. The furniture supply chain (manufacturing, warehousing, delivery) involves complex physical logistics immune to AI displacement. However, AI-powered e-commerce competitors could enhance online furniture shopping (virtual staging, generative design), and AI may commoditize the supply chain optimization that contributes to Bob's pricing advantage. The low-price segment is also somewhat insulated from AI disruption because the core value proposition is affordability, not curation or design expertise. AI Opportunity (1/1): Bob's deploys augmented reality tools on its website allowing customers to visualize furniture in their homes, and uses digital innovation to enhance the omnichannel experience, though AI is not yet a material revenue driver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N/A</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Bob's Discount Furniture FY2025 Earnings Release — $2.37B revenue, 16.8% growth, 7.7% comp sales, $240.8M adj EBITDA, FY2026 guidance, March 2026</w:t>
      </w:r>
    </w:p>
    <w:p>
      <w:pPr>
        <w:spacing w:before="20" w:after="20"/>
        <w:ind w:left="170"/>
      </w:pPr>
      <w:r>
        <w:rPr>
          <w:rFonts w:ascii="Calibri" w:hAnsi="Calibri"/>
          <w:b/>
          <w:color w:val="4A6B25"/>
          <w:sz w:val="15"/>
        </w:rPr>
        <w:t xml:space="preserve">2. </w:t>
      </w:r>
      <w:r>
        <w:rPr>
          <w:rFonts w:ascii="Calibri" w:hAnsi="Calibri"/>
          <w:b w:val="0"/>
          <w:color w:val="3A4A28"/>
          <w:sz w:val="17"/>
        </w:rPr>
        <w:t>CNBC and Retail TouchPoints — CEO Bill Barton on expansion strategy, pricing model, AI usage, culture stewardship, February 2026</w:t>
      </w:r>
    </w:p>
    <w:p>
      <w:pPr>
        <w:spacing w:before="20" w:after="20"/>
        <w:ind w:left="170"/>
      </w:pPr>
      <w:r>
        <w:rPr>
          <w:rFonts w:ascii="Calibri" w:hAnsi="Calibri"/>
          <w:b/>
          <w:color w:val="4A6B25"/>
          <w:sz w:val="15"/>
        </w:rPr>
        <w:t xml:space="preserve">3. </w:t>
      </w:r>
      <w:r>
        <w:rPr>
          <w:rFonts w:ascii="Calibri" w:hAnsi="Calibri"/>
          <w:b w:val="0"/>
          <w:color w:val="3A4A28"/>
          <w:sz w:val="17"/>
        </w:rPr>
        <w:t>Bob's Discount Furniture IPO Filing — $17 per share, 19.45M shares, $303M net proceeds, $350M debt prepayment, February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Bob's Discount Furniture class action (Goof Proof warranty), consumer complaints</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BOBS (Bob's Discount Furniture), retrieved April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