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BORR</w:t>
      </w:r>
      <w:r>
        <w:rPr>
          <w:rFonts w:ascii="Calibri" w:hAnsi="Calibri"/>
          <w:b/>
          <w:color w:val="1A2010"/>
          <w:sz w:val="40"/>
        </w:rPr>
        <w:t xml:space="preserve">  Borr Drilling Limited</w:t>
      </w:r>
    </w:p>
    <w:p>
      <w:pPr>
        <w:spacing w:after="120"/>
      </w:pPr>
      <w:r>
        <w:rPr>
          <w:rFonts w:ascii="Calibri" w:hAnsi="Calibri"/>
          <w:b/>
          <w:color w:val="6E8450"/>
          <w:sz w:val="18"/>
        </w:rPr>
        <w:t>GROWTH SLEEVE · 2026-03-28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Bermuda</w:t>
      </w:r>
    </w:p>
    <w:p>
      <w:pPr>
        <w:spacing w:after="80"/>
      </w:pPr>
      <w:r>
        <w:rPr>
          <w:rFonts w:ascii="Calibri" w:hAnsi="Calibri"/>
          <w:b w:val="0"/>
          <w:color w:val="3A4A28"/>
          <w:sz w:val="20"/>
        </w:rPr>
        <w:t>Borr Drilling Limited is an international offshore drilling contractor that owns and operates a fleet of 29 modern jack-up rigs, one of the youngest fleets in the industry. Founded in 2016 and headquartered in Hamilton, Bermuda, the company provides drilling services to oil and gas exploration and production companies worldwide in water depths up to approximately 400 feet, with operations concentrated in the Middle East, Southeast Asia, West Africa, and Mexico.</w:t>
      </w:r>
    </w:p>
    <w:p>
      <w:r>
        <w:rPr>
          <w:rFonts w:ascii="Calibri" w:hAnsi="Calibri"/>
          <w:b/>
          <w:color w:val="6E8450"/>
          <w:sz w:val="18"/>
        </w:rPr>
        <w:t>2,030 Employees · https://borrdrilling.com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Borr Drilling's most notable achievement is building a fleet of 29 modern jack-up rigs from zero since its 2016 founding, primarily through opportunistic acquisitions of distressed assets during the offshore downturn. The recent $174M five-rig acquisition in Mexico via a 50/50 JV expands capacity, but this is fleet accumulation rather than product or business model innovation [1]. AI Deployment (0/2): No AI-powered products or quantified AI-driven operational savings despite the broader offshore drilling industry seeing significant AI adoption (Chevron 30% drilling speed increase, Shell 130% efficiency gains); Borr acknowledges 'cyber and AI-related risks' in its 20-F but has not disclosed AI deployments [2]. Market Share (1/2): Borr operates one of the youngest jack-up fleets globally with 97.9% technical utilization in Q4 2025, positioning it as a premium player; however, competitors like Valaris, Noble Corporation, and ADES have larger or comparable fleets [1]. Pipeline (1/2): The Mexico JV acquisition and 85% contract coverage for FY2025 provide near-term visibility, with signs of demand inflection in Saudi Arabia; however, no specific new-build or next-gen technology announcements [1]. R&amp;D Intensity (0/1): Offshore drilling contractors do not typically invest in R&amp;D; Borr has no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Borr Drilling's purpose is 'delivering safe, efficient, and reliable drilling services' with the 'industry's youngest fleet' — a generic operational statement that could apply to any drilling contractor, focused on what the company does rather than why it exists [2]. Community Impact (0/2): No evidence of distinctive charitable programs, community investment, or foundation activity beyond standard offshore industry safety and environmental compliance. Employee Retention (0/2): Glassdoor rating of 3.1/5 with only 41% of employees recommending the company to a friend; reviews describe 'blaming culture,' 'fear and micromanagement' in HR, and 'a pervasive atmosphere of toxicity' in some departments [2]. Management average tenure is short given the company was founded only in 2016. Insider Buying (1/2): Major shareholder and founder Tor Olav Troim maintains significant equity exposure through his investment vehicle Magni Partners, providing alignment with shareholders, though no specific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Borr Drilling's financial profile reflects a young, leveraged drilling contractor in a cyclical industry. D/E of 175.9% is elevated but manageable for an asset-heavy offshore driller, scoring 0.54 [4]. ROE of 4.1% is low, reflecting thin profitability on a $3.98 book value per share [4]. Revenue of $1.02B grew 5.8% in FY2025 but declined -1.4% in the most recent quarter as Q4 revenue fell 6.4% sequentially to $259.4M [1]. The 5-year revenue CAGR of ~43.6% (from ~$167M to $1.02B) is exceptional but driven by fleet expansion and market recovery from COVID lows rather than organic growth. Forward P/E of 14.8x is attractive for a company with $470M adjusted EBITDA [1]. Profit margin of 4.4% is razor-thin, with Q4 posting a small net loss despite $105.2M EBITDA. Total debt of $2.15B against $380M cash creates meaningful leverage risk. Liquidity floor cleared: 6.7M avg vol x $6.05 = $40.5M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Borr Drilling is a young company (founded 2016) playing a predominantly finite game — built to capitalize on the offshore drilling cycle through aggressive fleet acquisition at distressed prices, extracting value from the supply-demand imbalance. While CEO Bruno Morand emphasizes safety and operational excellence, the company's DNA is opportunistic asset accumulation in a cyclical industry rather than building something designed to endure across energy transitions.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Borr Drilling's stated purpose of 'delivering safe, efficient, and reliable drilling services' with the 'youngest fleet' is an operational positioning statement, not a Just Cause [2]. The company was explicitly founded in 2016 to exploit distressed jack-up rig prices during the offshore downturn — a financially motivated founding rather than a purpose-driven one. CEO Bruno Morand's emphasis on safety ('ensuring the safety and wellbeing of our personnel is our highest priority') during the Arabian Gulf crisis shows genuine care, but safety is a minimum standard in offshore drilling, not a distinctive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3.1/5 with only 41% of employees recommending the company is below average [2]. Reviews describe 'blaming culture,' 'fear and micromanagement' in HR, requests to 'be available online 24h,' and 'a pervasive atmosphere of toxicity' in some departments. The September 2025 CEO transition from Patrick Schorn to Bruno Morand, while framed as orderly succession, adds organizational uncertainty. The 2,030 employees spread across international offshore operations face inherently challenging working conditions.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Borr Drilling's management referencing competitors like Valaris, Noble Corporation, or ADES as worthy rivals whose strengths push Borr to improve [1][2]. The competitive framing is about fleet age and utilization metrics rather than learning from competitors' innovations or acknowledging their strengths. Major shareholder Granular Capital praised Borr's 'superior assets, operations and culture' in an absolute frame rather than a competitive-learning frame.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Borr has shown some strategic flexibility by expanding from a zero-rig startup in 2016 to a 29-rig fleet through well-timed acquisitions during the offshore downturn, and diversifying geographically into Mexico (50/50 JV), the Middle East, West Africa, and Southeast Asia [1]. However, the company remains entirely in jack-up drilling — no diversification into deepwater, renewable energy, or adjacent services. The business model is fundamentally the same as when it was founded, adapted only through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$174M five-rig Mexico JV acquisition in January 2026 using seller's credit demonstrates willingness to bet on fleet expansion when the market outlook is constructive [1]. Building a major drilling fleet from scratch during the 2016-2020 offshore downturn required conviction in the cycle turn. However, these decisions are financially motivated (buying cheap assets in a down cycle) rather than principled long-term bets that sacrifice near-term results for enduring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Borr Drilling operates one of the youngest and highest-specification jack-up fleets in the industry (29 rigs, 97.9% technical utilization) in a structurally undersupplied market — limited new rig orders since 2015 mean existing modern fleets command premium dayrates [1]. FY2025 adjusted EBITDA of $470M (at the top of guidance) on $1.02B revenue demonstrates strong operational leverage, and the $174M Mexico JV expansion adds five premium rigs to capitalize on growing Latin American offshore demand [1]. Forward P/E of 14.8x and a 3.9% dividend yield at $6.05 provide attractive valuation for a company with $613M liquidity and a constructive demand outlook, with Saudi Arabia and Mexico showing signs of jack-up demand inflection into 2027 [1]. The structural supply shortage supports dayrate stability even in softer demand periods.</w:t>
      </w:r>
    </w:p>
    <w:p>
      <w:pPr>
        <w:spacing w:after="120"/>
      </w:pPr>
      <w:r>
        <w:rPr>
          <w:rFonts w:ascii="Calibri" w:hAnsi="Calibri"/>
          <w:b w:val="0"/>
          <w:color w:val="3A4A28"/>
          <w:sz w:val="20"/>
        </w:rPr>
        <w:t>The bear case centers on cyclicality, leverage, and energy transition risk. Revenue declined -1.4% in the most recent quarter with Q4 EBITDA falling 22.6% sequentially, and profit margin of 4.4% is razor-thin for a company with $2.15B in total debt [1][4]. D/E of 175.9% means any sustained decline in dayrates or utilization could trigger cash flow problems — the company is not yet generating sufficient free cash flow to rapidly deleverage [4]. The offshore drilling industry is inherently cyclical and exposed to oil price volatility; a recession-driven demand decline could compress dayrates 20-30% from current levels. The energy transition poses a secular headwind: ESG-conscious investors may limit valuation multiples, and tightening environmental regulations could restrict offshore drilling activity over time [3]. The Mexico JV adds geopolitical risk in a country with uncertain regulatory frameworks for offshore drilling. Glassdoor's 3.1/5 rating with 41% recommendation rate suggests talent retention challenges that could affect operational reliability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Saudi Arabia and Mexico jack-up demand inflection supporting utilization and dayrate increases through 2027, building on 85% FY2025 contract coverage [1]</w:t>
      </w:r>
    </w:p>
    <w:p>
      <w:pPr>
        <w:spacing w:before="40" w:after="40"/>
        <w:ind w:left="283"/>
      </w:pPr>
      <w:r>
        <w:rPr>
          <w:rFonts w:ascii="Calibri" w:hAnsi="Calibri"/>
          <w:b/>
          <w:color w:val="4A6B25"/>
          <w:sz w:val="20"/>
        </w:rPr>
        <w:t xml:space="preserve">2. </w:t>
      </w:r>
      <w:r>
        <w:rPr>
          <w:rFonts w:ascii="Calibri" w:hAnsi="Calibri"/>
          <w:b w:val="0"/>
          <w:color w:val="3A4A28"/>
          <w:sz w:val="20"/>
        </w:rPr>
        <w:t>Five-rig Mexico JV acquisition for $174M expanding fleet to 29 rigs and establishing presence in a growing Latin American offshore market [1]</w:t>
      </w:r>
    </w:p>
    <w:p>
      <w:pPr>
        <w:spacing w:before="40" w:after="40"/>
        <w:ind w:left="283"/>
      </w:pPr>
      <w:r>
        <w:rPr>
          <w:rFonts w:ascii="Calibri" w:hAnsi="Calibri"/>
          <w:b/>
          <w:color w:val="4A6B25"/>
          <w:sz w:val="20"/>
        </w:rPr>
        <w:t xml:space="preserve">3. </w:t>
      </w:r>
      <w:r>
        <w:rPr>
          <w:rFonts w:ascii="Calibri" w:hAnsi="Calibri"/>
          <w:b w:val="0"/>
          <w:color w:val="3A4A28"/>
          <w:sz w:val="20"/>
        </w:rPr>
        <w:t>Structural supply shortage — limited new jack-up orders since 2015 mean Borr's modern fleet commands premium pricing as older rigs are scrapped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 price decline or recession-driven demand destruction could compress jack-up dayrates 20-30%, severely impacting 4.4% profit margins and ability to service $2.15B in debt [1][4]</w:t>
      </w:r>
    </w:p>
    <w:p>
      <w:pPr>
        <w:spacing w:before="40" w:after="40"/>
        <w:ind w:left="283"/>
      </w:pPr>
      <w:r>
        <w:rPr>
          <w:rFonts w:ascii="Calibri" w:hAnsi="Calibri"/>
          <w:b/>
          <w:color w:val="4A6B25"/>
          <w:sz w:val="20"/>
        </w:rPr>
        <w:t xml:space="preserve">2. </w:t>
      </w:r>
      <w:r>
        <w:rPr>
          <w:rFonts w:ascii="Calibri" w:hAnsi="Calibri"/>
          <w:b w:val="0"/>
          <w:color w:val="3A4A28"/>
          <w:sz w:val="20"/>
        </w:rPr>
        <w:t>Mexico JV geopolitical and regulatory risk — uncertain offshore drilling frameworks and political instability could delay or impair the $174M five-rig investment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headwind — tightening ESG regulations and declining investor appetite for fossil fuel exposure could compress valuation multiples and restrict access to capital markets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Borr Drilling's core business — operating physical jack-up rigs in offshore waters up to 400 feet — is structurally immune to AI disruption. Offshore drilling requires massive physical assets ($50M+ per rig), specialized crews, regulatory permits, and decades of operational expertise that AI cannot replicate or substitute [1]. AI actually increases demand for Borr's services: AI-optimized drilling (Chevron 30% speed increase, Shell 130% efficiency gains) makes offshore projects more economically viable, expanding the addressable market for jack-up contractors [2]. The industry's structural supply shortage (limited new rig orders since 2015) protects existing modern fleets like Borr's 29-rig portfolio. Borr acknowledges 'cyber and AI-related risks' in its 20-F, appropriately recognizing AI as an operational tool and cybersecurity concern rather than a substitution threat [2]. AI Opportunity (0/1): No AI-related revenue; Borr has not disclosed AI-powered services or products generating measurable revenue, despite industry peers adopting AI for drilling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Borr Drilling Q4 2025 Results and FY2025 Annual Report — $1.02B revenue, $470M EBITDA, 29-rig fleet, Mexico JV, February 2026</w:t>
      </w:r>
    </w:p>
    <w:p>
      <w:pPr>
        <w:spacing w:before="20" w:after="20"/>
        <w:ind w:left="170"/>
      </w:pPr>
      <w:r>
        <w:rPr>
          <w:rFonts w:ascii="Calibri" w:hAnsi="Calibri"/>
          <w:b/>
          <w:color w:val="4A6B25"/>
          <w:sz w:val="15"/>
        </w:rPr>
        <w:t xml:space="preserve">2. </w:t>
      </w:r>
      <w:r>
        <w:rPr>
          <w:rFonts w:ascii="Calibri" w:hAnsi="Calibri"/>
          <w:b w:val="0"/>
          <w:color w:val="3A4A28"/>
          <w:sz w:val="17"/>
        </w:rPr>
        <w:t>Borr Drilling CEO Succession, Glassdoor Reviews, and AI Disruption Analysis — Bruno Morand appointment, employee sentiment, drilling AI trends,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Borr Drilling ESG Profile and Sustainalytics Rating — Average ESG management, energy transition risks, regulatory pressures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BORR,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