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BPRE</w:t>
      </w:r>
      <w:r>
        <w:rPr>
          <w:rFonts w:ascii="Calibri" w:hAnsi="Calibri"/>
          <w:b/>
          <w:color w:val="1A2010"/>
          <w:sz w:val="40"/>
        </w:rPr>
        <w:t xml:space="preserve">  Bluerock Private Real Estate Fund</w:t>
      </w:r>
    </w:p>
    <w:p>
      <w:pPr>
        <w:spacing w:after="120"/>
      </w:pPr>
      <w:r>
        <w:rPr>
          <w:rFonts w:ascii="Calibri" w:hAnsi="Calibri"/>
          <w:b/>
          <w:color w:val="6E8450"/>
          <w:sz w:val="18"/>
        </w:rPr>
        <w:t>GROWTH SLEEVE · 2026-05-04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Real Estate - Closed-End Fund · NYSE · United States</w:t>
      </w:r>
    </w:p>
    <w:p>
      <w:pPr>
        <w:spacing w:after="80"/>
      </w:pPr>
      <w:r>
        <w:rPr>
          <w:rFonts w:ascii="Calibri" w:hAnsi="Calibri"/>
          <w:b w:val="0"/>
          <w:color w:val="3A4A28"/>
          <w:sz w:val="20"/>
        </w:rPr>
        <w:t>Bluerock Private Real Estate Fund (BPRE) is a closed-end fund that provides access to private institutional real estate. The fund holds approximately $4.2 billion in assets spanning ~5,500 properties, primarily allocated to private real estate securities (87%) and real estate debt/preferred equity (13%). Listed on the NYSE in December 2025, BPRE was previously known as Bluerock Total Income+ Real Estate Fund and operated as an interval fund with limited liquidity.</w:t>
      </w:r>
    </w:p>
    <w:p>
      <w:r>
        <w:rPr>
          <w:rFonts w:ascii="Calibri" w:hAnsi="Calibri"/>
          <w:b/>
          <w:color w:val="6E8450"/>
          <w:sz w:val="18"/>
        </w:rPr>
        <w:t>https://bluerock.com/bluerock-private-real-estate-fund/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Bluerock listed BPRE on the NYSE in December 2025, transitioning from an illiquid interval fund to a publicly traded closed-end fund. This structural change was significant but resulted in immediate ~38% discount to NAV — the fund opened below $15 against a stated NAV of $25.52 [1]. The fund executed over $3.4B in asset sales at prices within ~2% of NAV over the prior three years, demonstrating portfolio management capability [2]. AI Deployment (0/2): No AI-powered products or AI-driven investment analytics reported. BPRE is a traditional real estate investment vehicle. Market Share (0/2): BPRE describes itself as 'the only listed closed-end fund offering access to private institutional real estate,' a unique positioning but with a market price reflecting deep skepticism about the value proposition [2]. Pipeline (1/2): The fund has increased distributions three times since transitioning to monthly payments in January 2026, with May/June 2026 distribution of $0.1208/share (~8.3% annualized yield), signaling management confidence in cash flow [3]. R&amp;D Intensity (0/1): Not applicable for a closed-end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Bluerock's stated objective is to 'deliver consistent current income while pursuing long-term capital appreciation' — a standard financial product description with no distinctive purpose beyond investment returns [2]. Community Impact (0/2): No evidence of charitable programs, community investment, or social impact initiatives beyond the real estate investments themselves. The fund is a financial vehicle, not an operating company. Employee Retention (0/2): No employee data — the fund is externally managed by Bluerock, an institutional alternative asset manager. Insider Buying (1/2): Bluerock principals have 100+ years of collective investing experience and manage $120B+ in real estate and capital markets experience [2]. However, no specific insider buying data for BPRE shares post-listing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BPRE's financial metrics are largely unavailable through standard data sources given its December 2025 listing as a closed-end fund. Profit margin is reported at 0%, and no P/E, D/E, ROE, or revenue growth data is available from yfinance [4]. The fund trades at a ~35% discount to its stated NAV of $25.52, with the market price of $16.68 reflecting deep skepticism about the accuracy of private real estate valuations [1]. While Bluerock claims independent third-party appraisals and cites $3.4B in asset sales within ~2% of NAV, the market disagrees [2]. Total assets of ~$4.2B across ~5,500 properties suggest substantial real estate exposure, but the closed-end structure and former redemption restrictions raise liquidity concerns [2]. Monthly distributions of ~$0.12/share (~8.3% annualized) are attractive but only 5 months old. Liquidity passes floor: 593K avg volume x $16.68 = $9.9M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BPRE's transition from an interval fund to a listed closed-end fund — after two years of blocking investor redemptions — exemplifies finite game thinking. The listing was not a strategic evolution in service of investors but rather a forced liquidity event that destroyed ~38% of investors' stated value overnight. The governance structure prioritizes management fees and fund continuity over investor returns, and the White Law Group has opened an investor losses investigation.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 1/10): BPRE exists to generate management fees and investment returns. There is no articulated vision of a better future — the fund's purpose is purely financial. The transition from an interval fund to a listed CEF was driven by the need to provide liquidity to trapped investors, not by a cause. Bluerock's description focuses entirely on returns, volatility, and yield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The fund's governance has eroded investor trust. For over two years before the December 2025 listing, Bluerock limited redemptions, trapping investors who wanted to exit [1]. The listing resulted in a ~38% immediate loss versus stated NAV. The White Law Group has opened an investor losses investigation, and investors report they 'did not anticipate' the structural change that caused their losses [5]. This is the opposite of a trust-building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No evidence of an infinite competitive mindset. BPRE positions itself as the 'only listed closed-end fund offering access to private institutional real estate' — framing its uniqueness as a competitive advantage rather than acknowledging competitors' strengths or using rivalry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The transition from an interval fund with restricted redemptions to a publicly traded closed-end fund on the NYSE represents a meaningful structural pivot. Bluerock adapted the vehicle's structure in response to redemption pressure and market conditions, demonstrating willingness to change the operating model [1]. The shift to monthly distributions and three consecutive distribution increases show adaptive management. However, this flexibility was forced by circumstances rather than driven by a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 2/10): Listing a fund at a 38% discount to NAV is not courageous leadership — it's the result of two years of blocking redemptions until a listing became the only viable exit mechanism [1]. Management continued collecting fees while investors were trapped and unable to redeem. The three distribution increases since listing appear designed to narrow the NAV discount rather than representing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BPRE trades at a ~35% discount to its stated NAV of $25.52, offering potential upside if the market's valuation skepticism proves unwarranted. Bluerock cites $3.4B in asset sales at prices within ~2% of NAV over the past three years, supporting the accuracy of the fund's carrying values [2]. The annualized distribution yield of ~8.3% ($0.1208/month for May-June 2026) has been increased three consecutive times since the January 2026 transition to monthly payments, suggesting growing management confidence in cash flow [3]. The fund's $4.2B portfolio spans ~5,500 properties with 87% in private real estate and 13% in real estate debt/preferred equity, providing diversified exposure to physical assets that are structurally protected from AI disruption [2].</w:t>
      </w:r>
    </w:p>
    <w:p>
      <w:pPr>
        <w:spacing w:after="120"/>
      </w:pPr>
      <w:r>
        <w:rPr>
          <w:rFonts w:ascii="Calibri" w:hAnsi="Calibri"/>
          <w:b w:val="0"/>
          <w:color w:val="3A4A28"/>
          <w:sz w:val="20"/>
        </w:rPr>
        <w:t>The bear case is substantial. BPRE opened at a ~38% discount to NAV on its December 2025 listing date, and the market continues to trade the fund at a steep discount — suggesting institutional investors believe the stated NAV is overstated [1]. For over two years prior to listing, Bluerock restricted redemptions, trapping investors who wanted to exit. The White Law Group has opened an investor losses investigation, citing losses investors 'did not anticipate' from the structural transition [5]. The closed-end fund structure eliminates redemption rights entirely — there is no mechanism to realize NAV, only the market price. Private real estate valuations are inherently subjective, and the NAV may not reflect current market conditions. With only 5 months of distribution history as a listed entity, there is no track record to evaluate sustainability. The externally managed structure creates fee drag and potential conflicts of interest between Bluerock and shareholders. No financial metrics (P/E, ROE, D/E) are available for standard fundamental analysis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narrowing — if quarterly NAV publications and continued asset sales validate the $25.52 stated NAV, the 35% discount could compress, generating significant price appreciation [2]</w:t>
      </w:r>
    </w:p>
    <w:p>
      <w:pPr>
        <w:spacing w:before="40" w:after="40"/>
        <w:ind w:left="283"/>
      </w:pPr>
      <w:r>
        <w:rPr>
          <w:rFonts w:ascii="Calibri" w:hAnsi="Calibri"/>
          <w:b/>
          <w:color w:val="4A6B25"/>
          <w:sz w:val="20"/>
        </w:rPr>
        <w:t xml:space="preserve">2. </w:t>
      </w:r>
      <w:r>
        <w:rPr>
          <w:rFonts w:ascii="Calibri" w:hAnsi="Calibri"/>
          <w:b w:val="0"/>
          <w:color w:val="3A4A28"/>
          <w:sz w:val="20"/>
        </w:rPr>
        <w:t>Continued distribution increases — three consecutive raises since January 2026 establish a positive trajectory that could attract income investors and support price discovery [3]</w:t>
      </w:r>
    </w:p>
    <w:p>
      <w:pPr>
        <w:spacing w:before="40" w:after="40"/>
        <w:ind w:left="283"/>
      </w:pPr>
      <w:r>
        <w:rPr>
          <w:rFonts w:ascii="Calibri" w:hAnsi="Calibri"/>
          <w:b/>
          <w:color w:val="4A6B25"/>
          <w:sz w:val="20"/>
        </w:rPr>
        <w:t xml:space="preserve">3. </w:t>
      </w:r>
      <w:r>
        <w:rPr>
          <w:rFonts w:ascii="Calibri" w:hAnsi="Calibri"/>
          <w:b w:val="0"/>
          <w:color w:val="3A4A28"/>
          <w:sz w:val="20"/>
        </w:rPr>
        <w:t>Private real estate market stabilization — improved transaction volume and price discovery in commercial real estate could validate fund valuations and reduce investor skepticism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NAV impairment — private real estate valuations may be overstated; the 35% market discount suggests institutional investors believe properties are worth less than stated [1]</w:t>
      </w:r>
    </w:p>
    <w:p>
      <w:pPr>
        <w:spacing w:before="40" w:after="40"/>
        <w:ind w:left="283"/>
      </w:pPr>
      <w:r>
        <w:rPr>
          <w:rFonts w:ascii="Calibri" w:hAnsi="Calibri"/>
          <w:b/>
          <w:color w:val="4A6B25"/>
          <w:sz w:val="20"/>
        </w:rPr>
        <w:t xml:space="preserve">2. </w:t>
      </w:r>
      <w:r>
        <w:rPr>
          <w:rFonts w:ascii="Calibri" w:hAnsi="Calibri"/>
          <w:b w:val="0"/>
          <w:color w:val="3A4A28"/>
          <w:sz w:val="20"/>
        </w:rPr>
        <w:t>Governance and litigation risk — White Law Group investor losses investigation and blocked redemptions for 2+ years prior to listing raise serious governance concerns [5]</w:t>
      </w:r>
    </w:p>
    <w:p>
      <w:pPr>
        <w:spacing w:before="40" w:after="40"/>
        <w:ind w:left="283"/>
      </w:pPr>
      <w:r>
        <w:rPr>
          <w:rFonts w:ascii="Calibri" w:hAnsi="Calibri"/>
          <w:b/>
          <w:color w:val="4A6B25"/>
          <w:sz w:val="20"/>
        </w:rPr>
        <w:t xml:space="preserve">3. </w:t>
      </w:r>
      <w:r>
        <w:rPr>
          <w:rFonts w:ascii="Calibri" w:hAnsi="Calibri"/>
          <w:b w:val="0"/>
          <w:color w:val="3A4A28"/>
          <w:sz w:val="20"/>
        </w:rPr>
        <w:t>Distribution sustainability — only 5 months of distribution history as a listed entity, with no long-term track record to evaluate whether the 8.3% yield is sustainable from fund cash 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BPRE's underlying assets are physical real estate properties — apartments, commercial buildings, and other tangible assets that AI structurally cannot replace or displace. Real estate ownership, management, and the income streams from tenants are immune to AI substitution. Property valuations may become more efficient through AI tools, but the fundamental asset class is protected. The ~5,500 properties generating rental income represent physical-world infrastructure that benefits from, rather than competes with, AI adoption (more AI companies = more demand for data center and office space) [2]. AI Opportunity (0/1): No evidence of AI-generated revenue. The fund is a passive real estate investment vehicle without AI-enhanced property management or analytics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Bisnow — 'At 38% Discount, $3.6B Bluerock Listing Puts Private CRE Valuations To The Test,' December 2025</w:t>
      </w:r>
    </w:p>
    <w:p>
      <w:pPr>
        <w:spacing w:before="20" w:after="20"/>
        <w:ind w:left="170"/>
      </w:pPr>
      <w:r>
        <w:rPr>
          <w:rFonts w:ascii="Calibri" w:hAnsi="Calibri"/>
          <w:b/>
          <w:color w:val="4A6B25"/>
          <w:sz w:val="15"/>
        </w:rPr>
        <w:t xml:space="preserve">2. </w:t>
      </w:r>
      <w:r>
        <w:rPr>
          <w:rFonts w:ascii="Calibri" w:hAnsi="Calibri"/>
          <w:b w:val="0"/>
          <w:color w:val="3A4A28"/>
          <w:sz w:val="17"/>
        </w:rPr>
        <w:t>Bluerock Corporate Website — BPRE fund overview: $4.2B assets, ~5,500 properties, NAV $25.52, post-listing update February 2026</w:t>
      </w:r>
    </w:p>
    <w:p>
      <w:pPr>
        <w:spacing w:before="20" w:after="20"/>
        <w:ind w:left="170"/>
      </w:pPr>
      <w:r>
        <w:rPr>
          <w:rFonts w:ascii="Calibri" w:hAnsi="Calibri"/>
          <w:b/>
          <w:color w:val="4A6B25"/>
          <w:sz w:val="15"/>
        </w:rPr>
        <w:t xml:space="preserve">3. </w:t>
      </w:r>
      <w:r>
        <w:rPr>
          <w:rFonts w:ascii="Calibri" w:hAnsi="Calibri"/>
          <w:b w:val="0"/>
          <w:color w:val="3A4A28"/>
          <w:sz w:val="17"/>
        </w:rPr>
        <w:t>PR Newswire / Bluerock — Distribution increase announcements: monthly transition January 2026, increases for May-June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BPRE price $16.68, avg volume 593K, limited financial data available, accessed May 2026</w:t>
      </w:r>
    </w:p>
    <w:p>
      <w:pPr>
        <w:spacing w:before="20" w:after="20"/>
        <w:ind w:left="170"/>
      </w:pPr>
      <w:r>
        <w:rPr>
          <w:rFonts w:ascii="Calibri" w:hAnsi="Calibri"/>
          <w:b/>
          <w:color w:val="4A6B25"/>
          <w:sz w:val="15"/>
        </w:rPr>
        <w:t xml:space="preserve">5. </w:t>
      </w:r>
      <w:r>
        <w:rPr>
          <w:rFonts w:ascii="Calibri" w:hAnsi="Calibri"/>
          <w:b w:val="0"/>
          <w:color w:val="3A4A28"/>
          <w:sz w:val="17"/>
        </w:rPr>
        <w:t>White Law Group — Bluerock Private Real Estate Fund investor losses investigation,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