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BP</w:t>
      </w:r>
      <w:r>
        <w:rPr>
          <w:rFonts w:ascii="Calibri" w:hAnsi="Calibri"/>
          <w:b/>
          <w:color w:val="1A2010"/>
          <w:sz w:val="40"/>
        </w:rPr>
        <w:t xml:space="preserve">  BP p.l.c.</w:t>
      </w:r>
    </w:p>
    <w:p>
      <w:pPr>
        <w:spacing w:after="120"/>
      </w:pPr>
      <w:r>
        <w:rPr>
          <w:rFonts w:ascii="Calibri" w:hAnsi="Calibri"/>
          <w:b/>
          <w:color w:val="6E8450"/>
          <w:sz w:val="18"/>
        </w:rPr>
        <w:t>DIVIDEND SLEEVE · 2026-03-27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United Kingdom</w:t>
      </w:r>
    </w:p>
    <w:p>
      <w:pPr>
        <w:spacing w:after="80"/>
      </w:pPr>
      <w:r>
        <w:rPr>
          <w:rFonts w:ascii="Calibri" w:hAnsi="Calibri"/>
          <w:b w:val="0"/>
          <w:color w:val="3A4A28"/>
          <w:sz w:val="20"/>
        </w:rPr>
        <w:t>BP p.l.c. is a global integrated energy company operating across oil and gas exploration, production, refining, and marketing, as well as renewable energy including solar, wind, and hydrogen. The company operates through Gas &amp; Low Carbon Energy, Oil Production &amp; Operations, and Customers &amp; Products segments, with operations worldwide.</w:t>
      </w:r>
    </w:p>
    <w:p>
      <w:r>
        <w:rPr>
          <w:rFonts w:ascii="Calibri" w:hAnsi="Calibri"/>
          <w:b/>
          <w:color w:val="6E8450"/>
          <w:sz w:val="18"/>
        </w:rPr>
        <w:t>93,700 Employees · https://www.bp.com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 has pivoted away from its aggressive renewable energy innovation strategy, with CEO Murray Auchincloss announcing plans to boost oil and gas investment by 20% while cutting renewable energy spending by $5B+ [1]. The company achieved 12 exploration discoveries in 2025 and started six new upstream projects, demonstrating continued traditional energy innovation [2]. However, the retreat from its 'Beyond Petroleum' vision and scrapping of the 20-fold renewable generation target signals a narrowing innovation aperture.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BP's mission has become muddled after the strategic 'reset' — the company went from being an ESG poster child with ambitious climate commitments to dramatically scaling back green targets under investor pressure [3]. CEO Auchincloss acknowledged BP had gone 'too far, too fast' on transition, which inspires neither climate-focused nor traditional energy investors with conviction. The Castrol divestiture ($6B) and suspended buybacks suggest a company in defensive mode rather than inspirational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BP's financial infrastructure shows strain with a near-zero trailing profit margin of 0.03% and an elevated payout ratio of 96%, though the forward P/E of 13.0x and $7.6B quarterly operating cash flow suggest normalized earnings power remains intact [2]. D/E of 98% is elevated but manageable for an integrated oil major, and the company is actively deleveraging through $11B+ in divestitures. Revenue has declined from the 2022 energy crisis peak but stabilized YoY at $189B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BP's dramatic strategic reversal from renewable energy ambitions back to fossil fuel focus reveals a fundamentally finite-game orientation driven by quarterly shareholder pressure rather than a long-term just cause. While the company has operated for over a century and maintains global scale, the inability to sustain its energy transition vision under investor pressure demonstrates a lack of existential flexibility and courage to lead.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BP's just cause has been undermined by strategic whiplash — from 'Beyond Petroleum' to aggressive renewables targets to scaling them back dramatically under shareholder pressure [3]. A company that abandons its stated purpose when stock performance lags demonstrates that profitability, not purpose, is the true north star.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BP's workforce has experienced significant restructuring as the company pivots strategy, creating uncertainty. The 93,700 employees face ongoing organizational change as renewable divisions are scaled back and upstream operations expanded. The Castrol divestiture affects thousands of employees whose future is now uncertain.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 actively benchmarks against Shell, ExxonMobil, and Chevron, and the competitive pressure from these better-performing rivals directly drove BP's strategic reset [3]. The company's willingness to learn from rivals' stronger shareholder returns by refocusing on oil and gas shows competitive awareness, though it may represent capitulation rather than genuine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 showed initial existential flexibility in pivoting to renewables but demonstrated inability to sustain that pivot, reversing course under financial pressure. The $11B divestiture program and Castrol sale show willingness to reshape the portfolio, but the direction of change is backward toward the legacy business rather than forward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Auchincloss's admission that BP went 'too far, too fast' on energy transition, combined with suspended buybacks and scrapped renewable targets, reflects a leadership team that yielded to short-term investor pressure rather than maintaining conviction in a long-term strategy [3]. The suspended share buyback further signals defensive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BP trades at a compelling forward P/E of 13.0x with a 4.3% dividend yield, offering deep value if management successfully executes its strategic reset toward higher-return oil and gas assets. The $11B+ divestiture program (including Castrol at $6B) will strengthen the balance sheet, and the company's target of 20% CAGR in adjusted free cash flow through 2027 could support significant shareholder returns once the buyback resumes [2]. Upstream production grew 3% QoQ in Q3 2025 with 97% plant reliability — the best in 20 years — suggesting operational excellence in the core business.</w:t>
      </w:r>
    </w:p>
    <w:p>
      <w:pPr>
        <w:spacing w:after="120"/>
      </w:pPr>
      <w:r>
        <w:rPr>
          <w:rFonts w:ascii="Calibri" w:hAnsi="Calibri"/>
          <w:b w:val="0"/>
          <w:color w:val="3A4A28"/>
          <w:sz w:val="20"/>
        </w:rPr>
        <w:t>The bear case is substantial: BP's near-zero trailing profit margin, 96% payout ratio, and suspended buyback signal a company under severe financial strain. Revenue has declined from $241B (2022) to $189B (2025) as energy prices normalized, and the strategic reversal away from renewables creates ESG-related reputational risk and potential capital flight from sustainability-focused funds [3]. The stock is down significantly from highs, and BP's lagging returns versus Shell and Exxon raise questions about whether the current management team can close the performance gap. Long-term oil demand uncertainty from EV adoption and energy efficiency adds structural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$11B+ divestiture program including Castrol sale, enabling balance sheet deleveraging and potential buyback resumption by late 2026 [2]</w:t>
      </w:r>
    </w:p>
    <w:p>
      <w:pPr>
        <w:spacing w:before="40" w:after="40"/>
        <w:ind w:left="283"/>
      </w:pPr>
      <w:r>
        <w:rPr>
          <w:rFonts w:ascii="Calibri" w:hAnsi="Calibri"/>
          <w:b/>
          <w:color w:val="4A6B25"/>
          <w:sz w:val="20"/>
        </w:rPr>
        <w:t xml:space="preserve">2. </w:t>
      </w:r>
      <w:r>
        <w:rPr>
          <w:rFonts w:ascii="Calibri" w:hAnsi="Calibri"/>
          <w:b w:val="0"/>
          <w:color w:val="3A4A28"/>
          <w:sz w:val="20"/>
        </w:rPr>
        <w:t>Upstream production growth from six new projects started in 2025 and 12 exploration discoveries, targeting higher-margin barrels to improve ROACE</w:t>
      </w:r>
    </w:p>
    <w:p>
      <w:pPr>
        <w:spacing w:before="40" w:after="40"/>
        <w:ind w:left="283"/>
      </w:pPr>
      <w:r>
        <w:rPr>
          <w:rFonts w:ascii="Calibri" w:hAnsi="Calibri"/>
          <w:b/>
          <w:color w:val="4A6B25"/>
          <w:sz w:val="20"/>
        </w:rPr>
        <w:t xml:space="preserve">3. </w:t>
      </w:r>
      <w:r>
        <w:rPr>
          <w:rFonts w:ascii="Calibri" w:hAnsi="Calibri"/>
          <w:b w:val="0"/>
          <w:color w:val="3A4A28"/>
          <w:sz w:val="20"/>
        </w:rPr>
        <w:t>Potential takeout premium — BP has been cited as a possible acquisition target for larger integrated majors seeking European upstream assets at depressed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would severely pressure cash flows given BP's elevated cost base and $13B+ annual capex commitment, potentially forcing a dividend cut [2]</w:t>
      </w:r>
    </w:p>
    <w:p>
      <w:pPr>
        <w:spacing w:before="40" w:after="40"/>
        <w:ind w:left="283"/>
      </w:pPr>
      <w:r>
        <w:rPr>
          <w:rFonts w:ascii="Calibri" w:hAnsi="Calibri"/>
          <w:b/>
          <w:color w:val="4A6B25"/>
          <w:sz w:val="20"/>
        </w:rPr>
        <w:t xml:space="preserve">2. </w:t>
      </w:r>
      <w:r>
        <w:rPr>
          <w:rFonts w:ascii="Calibri" w:hAnsi="Calibri"/>
          <w:b w:val="0"/>
          <w:color w:val="3A4A28"/>
          <w:sz w:val="20"/>
        </w:rPr>
        <w:t>ESG fund exodus — BP's strategic retreat from renewables has prompted scrutiny from BlackRock, Legal &amp; General, and other ESG-mandated holders, risking sustained selling pressure [3]</w:t>
      </w:r>
    </w:p>
    <w:p>
      <w:pPr>
        <w:spacing w:before="40" w:after="40"/>
        <w:ind w:left="283"/>
      </w:pPr>
      <w:r>
        <w:rPr>
          <w:rFonts w:ascii="Calibri" w:hAnsi="Calibri"/>
          <w:b/>
          <w:color w:val="4A6B25"/>
          <w:sz w:val="20"/>
        </w:rPr>
        <w:t xml:space="preserve">3. </w:t>
      </w:r>
      <w:r>
        <w:rPr>
          <w:rFonts w:ascii="Calibri" w:hAnsi="Calibri"/>
          <w:b w:val="0"/>
          <w:color w:val="3A4A28"/>
          <w:sz w:val="20"/>
        </w:rPr>
        <w:t>Execution risk on simultaneous balance sheet repair, operational improvement, and strategic pivot — management credibility is low after multiple strategy reversals in five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moderate enabler for BP's operations — the company deploys machine learning for seismic data interpretation, predictive maintenance on refining assets, and supply chain optimization across its global trading operations [2]. However, BP's core oil and gas business is commodity-driven rather than technology-differentiated, meaning AI provides operational efficiency gains but not competitive moats. The energy transition uncertainty creates additional risk as AI-driven demand growth for data centers could benefit gas production but accelerate the shift away from transportation fuels.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BP Strategy Update and CEO Murray Auchincloss remarks, February 2026</w:t>
      </w:r>
    </w:p>
    <w:p>
      <w:pPr>
        <w:spacing w:before="20" w:after="20"/>
        <w:ind w:left="170"/>
      </w:pPr>
      <w:r>
        <w:rPr>
          <w:rFonts w:ascii="Calibri" w:hAnsi="Calibri"/>
          <w:b/>
          <w:color w:val="4A6B25"/>
          <w:sz w:val="15"/>
        </w:rPr>
        <w:t xml:space="preserve">2. </w:t>
      </w:r>
      <w:r>
        <w:rPr>
          <w:rFonts w:ascii="Calibri" w:hAnsi="Calibri"/>
          <w:b w:val="0"/>
          <w:color w:val="3A4A28"/>
          <w:sz w:val="17"/>
        </w:rPr>
        <w:t>BP Fourth Quarter and Full Year 2025 Results, February 10, 2026</w:t>
      </w:r>
    </w:p>
    <w:p>
      <w:pPr>
        <w:spacing w:before="20" w:after="20"/>
        <w:ind w:left="170"/>
      </w:pPr>
      <w:r>
        <w:rPr>
          <w:rFonts w:ascii="Calibri" w:hAnsi="Calibri"/>
          <w:b/>
          <w:color w:val="4A6B25"/>
          <w:sz w:val="15"/>
        </w:rPr>
        <w:t xml:space="preserve">3. </w:t>
      </w:r>
      <w:r>
        <w:rPr>
          <w:rFonts w:ascii="Calibri" w:hAnsi="Calibri"/>
          <w:b w:val="0"/>
          <w:color w:val="3A4A28"/>
          <w:sz w:val="17"/>
        </w:rPr>
        <w:t>Fortune — 'How BP went from eco poster child to possible takeover target',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BP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