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BRBR</w:t>
      </w:r>
      <w:r>
        <w:rPr>
          <w:rFonts w:ascii="Calibri" w:hAnsi="Calibri"/>
          <w:b/>
          <w:color w:val="1A2010"/>
          <w:sz w:val="40"/>
        </w:rPr>
        <w:t xml:space="preserve">  BellRing Brands, Inc.</w:t>
      </w:r>
    </w:p>
    <w:p>
      <w:pPr>
        <w:spacing w:after="120"/>
      </w:pPr>
      <w:r>
        <w:rPr>
          <w:rFonts w:ascii="Calibri" w:hAnsi="Calibri"/>
          <w:b/>
          <w:color w:val="6E8450"/>
          <w:sz w:val="18"/>
        </w:rPr>
        <w:t>GROWTH SLEEVE · 2026-04-02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BellRing Brands provides convenient nutrition products including ready-to-drink protein shakes, protein powders, and nutrition bars primarily under the Premier Protein and Dymatize brands. Incorporated in 2019 as a spinoff from Post Holdings, the company distributes through club stores, food/drug/mass retailers, e-commerce, and convenience channels. BellRing grew from $140M to over $2.3B in sales under founding CEO Darcy Davenport.</w:t>
      </w:r>
    </w:p>
    <w:p>
      <w:r>
        <w:rPr>
          <w:rFonts w:ascii="Calibri" w:hAnsi="Calibri"/>
          <w:b/>
          <w:color w:val="6E8450"/>
          <w:sz w:val="18"/>
        </w:rPr>
        <w:t>530 Employees · https://bellring.com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BellRing grew from $140M to $2.3B in sales since Darcy Davenport took the CEO role in 2019, primarily through expanding household penetration, distribution gains, and brand building for Premier Protein [1][2]. However, this is organic scaling of existing products, not transformative product launches or pivots. AI Deployment (1/2): BellRing is using AI for consumer intelligence to decode behavior, supply chain optimization for cost savings, digital campaign optimization, and retail merchandising analytics [2]. These are operational AI tools, not AI-powered products shipping to customers. Market Share (2/2): Premier Protein is the category leader in RTD protein shakes, the fastest-growing segment of convenient nutrition; household penetration continues to expand with distribution gains across club, FDM, and convenience channels [1]. Pipeline (1/2): Management referenced accelerating innovation pipeline and increased brand investment in FY2026, but no specific next-generation products with named launch dates were disclosed [1]. R&amp;D Intensity (0/1): As a CPG company with 530 employees, BellRing's R&amp;D spend is not above industry average — the company relies on co-manufacturers for production and focuses on marketing and distribution.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'Changing Lives with Good Energy' is specific, thoughtful, and clearly connects BellRing's work to a larger purpose around health and nutrition [2]. CEO Darcy Davenport is described as passionate about purpose-driven organizations where corporate culture fuels growth. The mission differentiates from generic CPG statements and reflects genuine intentionality. Community Impact (0/2): No evidence of charitable programs, foundation, or community investment with specific dollar amounts. Employee Retention (1/2): BellRing was named one of 15 Companies with the Best Workplace Culture in 2025 by CultureCon, and emphasizes placing culture at the center of the business [2]. However, CEO Davenport's announced retirement creates leadership uncertainty. Insider Buying (0/2): No evidence of meaningful insider buying. The ongoing securities fraud class action and shareholder derivative suits raise concerns about insider motivations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BellRing's financial profile is mixed. The company carries negative book value (-$4.36 per share) driven by leveraged buyout-era debt, making D/E and ROE uncalculable (scored at floor) [4]. Total debt of $1.2B against only $64.1M cash creates significant leverage. However, annual revenue grew 16% to $2.32B with strong free cash flow of $222.6M [1]. Forward P/E of 7.22x is extremely attractive, though it reflects the securities fraud overhang and 33% stock crash in August 2025 [3]. Profit margin of 7.89% is compressed by whey protein cost inflation and promotional pressure; gross margin fell 760bps YoY in Q1 FY2026 to 29.9% [1]. 5-year revenue CAGR of approximately 19% is exceptional. FY2026 guidance of $2.41-2.46B (4-6% growth) with adjusted EBITDA of $425-440M reflects deceleration from FY2025's 16% growth [1]. Liquidity floor cleared: 4.1M avg vol x $15.64 = $64.3M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BellRing under Darcy Davenport built a strong culture and grew the business from $140M to $2.3B, which reflects genuine organizational capability. However, the securities fraud allegations — accusing management of misleading investors about growth drivers while retailers were hoarding inventory — reveal a potentially finite mindset that prioritized reported metrics over transparent stakeholder communication. The CEO's retirement during this crisis and the company's narrow product focus limit evidence of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'Changing Lives with Good Energy' is a distinctive purpose that connects BellRing's protein nutrition business to a larger health mission [2]. Davenport's emphasis on purpose-driven organization and culture-fueled growth suggests the cause has influenced some strategic decisions. However, the cause hasn't survived a leadership transition or multi-decade test, and the securities fraud allegations raise questions about whether the cause guides behavior when it conflicts with Wall Street expectations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CultureCon recognized BellRing among the 15 best workplace cultures in 2025, and Davenport's leadership philosophy emphasizes employee empowerment and diverse viewpoints [2]. With only 530 employees, the company is small enough for culture to be personal. However, the CEO's retirement announcement coinciding with the securities fraud suit creates organizational uncertainty, and the lawsuit itself suggests possible gaps in internal governance.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points). BellRing's competitive language focuses on market share gains, distribution wins, and household penetration expansion [1]. No evidence of management acknowledging competitors' strengths, citing worthy rivals, or using competitive dynamics for self-improvement. The company positions Premier Protein as the category leader without referencing what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(0/2 points). BellRing is a single-category company focused exclusively on convenient nutrition (protein shakes, powders, bars) [1]. There is no evidence of strategic adaptation, business model evolution, or willingness to enter new markets. The company's entire revenue base depends on consumer demand for protein-based nutrition products. While the category is growing, BellRing has not demonstrated the flexibility to reinvent itself.</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(0/2 points). BellRing's growth has been achieved through conventional CPG execution — expanding distribution, building brand awareness, and scaling production [1]. There are no examples of leadership sacrificing near-term results for long-term capability, walking away from profitable but misaligned opportunities, or taking principled stands that cost money. The alleged inventory channel stuffing, if proven, would suggest the opposite of courageous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BellRing Brands is the category leader in ready-to-drink protein shakes, having grown from $140M to $2.3B in sales through Premier Protein's expanding household penetration and distribution [1]. At 7.22x forward P/E, the stock is historically cheap following the 33% August 2025 crash, offering significant upside if management proves the securities fraud allegations unfounded and growth resumes [3][4]. Free cash flow of $222.6M on $2.32B revenue supports the balance sheet despite $1.2B in debt. FY2026 guidance of $2.41-2.46B with adjusted EBITDA of $425-440M implies margins stabilizing. The convenient nutrition category continues to benefit from secular protein consumption trends, and Premier Protein's brand leadership provides pricing power as input costs normalize [1].</w:t>
      </w:r>
    </w:p>
    <w:p>
      <w:pPr>
        <w:spacing w:after="120"/>
      </w:pPr>
      <w:r>
        <w:rPr>
          <w:rFonts w:ascii="Calibri" w:hAnsi="Calibri"/>
          <w:b w:val="0"/>
          <w:color w:val="3A4A28"/>
          <w:sz w:val="20"/>
        </w:rPr>
        <w:t>The bear case is severe. BellRing faces securities class action and shareholder derivative suits alleging management misled investors about growth drivers — specifically that FY2025's 16% revenue growth was partially fueled by retailer inventory hoarding rather than true consumer demand [3]. When retailers destocked, Q3 FY2025 results disappointed and shares crashed 33% in a single day. Gross margin collapsed 760bps YoY in Q1 FY2026 to 29.9% due to whey protein inflation, promotional pressure, and tariff impacts [1]. CEO Darcy Davenport's retirement during this crisis removes the leader who built the company, creating succession risk during the most challenging period in BellRing's history. Negative book value (-$4.36/share) and $1.2B in debt limit financial flexibility if litigation costs mount or the business deteriorates [4]. Growth deceleration from 16% to 4-6% guidance raises questions about whether the protein shake category is maturing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securities fraud litigation — if allegations are unfounded, the stock could re-rate significantly from its current 7.22x forward P/E [3]</w:t>
      </w:r>
    </w:p>
    <w:p>
      <w:pPr>
        <w:spacing w:before="40" w:after="40"/>
        <w:ind w:left="283"/>
      </w:pPr>
      <w:r>
        <w:rPr>
          <w:rFonts w:ascii="Calibri" w:hAnsi="Calibri"/>
          <w:b/>
          <w:color w:val="4A6B25"/>
          <w:sz w:val="20"/>
        </w:rPr>
        <w:t xml:space="preserve">2. </w:t>
      </w:r>
      <w:r>
        <w:rPr>
          <w:rFonts w:ascii="Calibri" w:hAnsi="Calibri"/>
          <w:b w:val="0"/>
          <w:color w:val="3A4A28"/>
          <w:sz w:val="20"/>
        </w:rPr>
        <w:t>Whey protein cost normalization and margin recovery — management guided for second-half FY2026 acceleration as input costs stabilize and promotional intensity moderates [1]</w:t>
      </w:r>
    </w:p>
    <w:p>
      <w:pPr>
        <w:spacing w:before="40" w:after="40"/>
        <w:ind w:left="283"/>
      </w:pPr>
      <w:r>
        <w:rPr>
          <w:rFonts w:ascii="Calibri" w:hAnsi="Calibri"/>
          <w:b/>
          <w:color w:val="4A6B25"/>
          <w:sz w:val="20"/>
        </w:rPr>
        <w:t xml:space="preserve">3. </w:t>
      </w:r>
      <w:r>
        <w:rPr>
          <w:rFonts w:ascii="Calibri" w:hAnsi="Calibri"/>
          <w:b w:val="0"/>
          <w:color w:val="3A4A28"/>
          <w:sz w:val="20"/>
        </w:rPr>
        <w:t>New CEO appointment bringing fresh strategic vision and potentially restoring investor confidence in the growth narrative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alleging management misled investors about inventory channel stuffing — adverse litigation outcome could result in material financial penalties and permanent reputational damage [3]</w:t>
      </w:r>
    </w:p>
    <w:p>
      <w:pPr>
        <w:spacing w:before="40" w:after="40"/>
        <w:ind w:left="283"/>
      </w:pPr>
      <w:r>
        <w:rPr>
          <w:rFonts w:ascii="Calibri" w:hAnsi="Calibri"/>
          <w:b/>
          <w:color w:val="4A6B25"/>
          <w:sz w:val="20"/>
        </w:rPr>
        <w:t xml:space="preserve">2. </w:t>
      </w:r>
      <w:r>
        <w:rPr>
          <w:rFonts w:ascii="Calibri" w:hAnsi="Calibri"/>
          <w:b w:val="0"/>
          <w:color w:val="3A4A28"/>
          <w:sz w:val="20"/>
        </w:rPr>
        <w:t>CEO succession risk during the most challenging period in company history — Darcy Davenport's retirement removes the leader who built BellRing from $140M to $2.3B, with no successor announced [2]</w:t>
      </w:r>
    </w:p>
    <w:p>
      <w:pPr>
        <w:spacing w:before="40" w:after="40"/>
        <w:ind w:left="283"/>
      </w:pPr>
      <w:r>
        <w:rPr>
          <w:rFonts w:ascii="Calibri" w:hAnsi="Calibri"/>
          <w:b/>
          <w:color w:val="4A6B25"/>
          <w:sz w:val="20"/>
        </w:rPr>
        <w:t xml:space="preserve">3. </w:t>
      </w:r>
      <w:r>
        <w:rPr>
          <w:rFonts w:ascii="Calibri" w:hAnsi="Calibri"/>
          <w:b w:val="0"/>
          <w:color w:val="3A4A28"/>
          <w:sz w:val="20"/>
        </w:rPr>
        <w:t>Margin compression from whey protein inflation, tariffs, and increased promotional frequency — gross margin fell 760bps YoY in Q1 FY2026, threatening profitability at a time when revenue growth is decelerating to 4-6%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BellRing's core business — manufacturing and distributing physical nutrition products (protein shakes, powders, bars) — is structurally protected from AI disruption [2]. Consumers need to physically consume protein; no AI model can replace a Premier Protein shake. The brand-driven consumer relationship, club store distribution network, and physical product manufacturing create natural AI-proof moats. AI may enhance marketing efficiency and supply chain optimization but poses no substitution risk to the core product. AI Opportunity (0/1): While BellRing uses AI for internal operations (consumer intelligence, supply chain, merchandising), it does not generate revenue from AI products or services. AI is a cost optimization tool, not a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BellRing Brands Q1 FY2026 and Full Year FY2025 Earnings Release — $2.32B revenue, FY2026 guidance $2.41-2.46B, February 2026</w:t>
      </w:r>
    </w:p>
    <w:p>
      <w:pPr>
        <w:spacing w:before="20" w:after="20"/>
        <w:ind w:left="170"/>
      </w:pPr>
      <w:r>
        <w:rPr>
          <w:rFonts w:ascii="Calibri" w:hAnsi="Calibri"/>
          <w:b/>
          <w:color w:val="4A6B25"/>
          <w:sz w:val="15"/>
        </w:rPr>
        <w:t xml:space="preserve">2. </w:t>
      </w:r>
      <w:r>
        <w:rPr>
          <w:rFonts w:ascii="Calibri" w:hAnsi="Calibri"/>
          <w:b w:val="0"/>
          <w:color w:val="3A4A28"/>
          <w:sz w:val="17"/>
        </w:rPr>
        <w:t>BellRing Brands leadership, culture, and AI strategy — CultureCon award, CEO Davenport retirement announcement, February 2026</w:t>
      </w:r>
    </w:p>
    <w:p>
      <w:pPr>
        <w:spacing w:before="20" w:after="20"/>
        <w:ind w:left="170"/>
      </w:pPr>
      <w:r>
        <w:rPr>
          <w:rFonts w:ascii="Calibri" w:hAnsi="Calibri"/>
          <w:b/>
          <w:color w:val="4A6B25"/>
          <w:sz w:val="15"/>
        </w:rPr>
        <w:t xml:space="preserve">3. </w:t>
      </w:r>
      <w:r>
        <w:rPr>
          <w:rFonts w:ascii="Calibri" w:hAnsi="Calibri"/>
          <w:b w:val="0"/>
          <w:color w:val="3A4A28"/>
          <w:sz w:val="17"/>
        </w:rPr>
        <w:t>Hagens Berman / PRNewswire — Securities fraud class action and shareholder derivative suit, alleging artificial growth from retailer inventory hoarding,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BRBR (BellRing Brands),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