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BRO</w:t>
      </w:r>
      <w:r>
        <w:rPr>
          <w:rFonts w:ascii="Calibri" w:hAnsi="Calibri"/>
          <w:b/>
          <w:color w:val="1A2010"/>
          <w:sz w:val="40"/>
        </w:rPr>
        <w:t xml:space="preserve">  Brown &amp; Brown,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37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Brokers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Brown &amp; Brown is one of the largest U.S. insurance brokerages, providing risk management solutions across retail, wholesale, and national programs divisions with 22,888 employees.</w:t>
      </w:r>
    </w:p>
    <w:p>
      <w:r>
        <w:rPr>
          <w:rFonts w:ascii="Calibri" w:hAnsi="Calibri"/>
          <w:b/>
          <w:color w:val="6E8450"/>
          <w:sz w:val="18"/>
        </w:rPr>
        <w:t>22,888 Employees · https://www.bbrown.com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Revenue growth of 36.2% YoY driven by organic growth and acquisitions in a fragmented insurance brokerage market [1]. AI Deployment (0/2): No AI products. Market Share (2/2): 6th largest U.S. insurance broker with dominant regional presence. Pipeline (0/2): Acquisition-driven growth. R&amp;D Intensity (1/1): Above-average tech investment for insurance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risk management mission. Community Impact (1/2): 22,888 employees across communities. Retention (1/2): Stable large workforce. Insider (1/2): Family legacy with the Brown family maintaining involvement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BRO shows solid financials. Forward P/E of 13.32 is below target, profit margin of 18.3% approaches 20% target, ROE of 11.2% below target [1]. D/E of 63.0% is conservative for financial services. Revenue growth of 36.2% is exceptional. Dividend yield of 0.95% with 19.5% payout is modest. Liquidity cleared at $233M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Brown &amp; Brown demonstrates some infinite game qualities through its long-term acquisition strategy and family legacy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 pt → 4/10): Risk management mission is industry-standard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6/10): 22,888 employees with entrepreneurial culture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 pt → 10/10): Acknowledges Marsh, Aon, Willis Towers Watson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2/10): Pure-play insurance brokerage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Long-term acquisition strategy through market cycles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Brown &amp; Brown is a top-6 U.S. insurance broker with 36.2% revenue growth and an attractive forward P/E of 13.32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Growth is largely acquisition-driven, creating integration risk. ROE of 11.2% is below target and earnings declined 16.2% YoY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Acquisition-driven revenue growth in fragmented brokerage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13.32 offers value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Insurance premium hardening supporting organic growth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Acquisition integration risk with 36.2% revenue growth largely inorganic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Earnings decline of 16.2% despite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commoditization of simpler insurance lines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Insurance brokerage requires relationship management, risk assessment, and regulatory expertise that provides meaningful defense against AI [1]. However, AI-powered insurance comparison tools and automated underwriting could commoditize simpler lines. Complex commercial risk management remains human-dependent. AI Opportunity (1/1): AI analytics for risk assessment and client service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BRO (Brown &amp; Brown),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