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BRSL</w:t>
      </w:r>
      <w:r>
        <w:rPr>
          <w:rFonts w:ascii="Calibri" w:hAnsi="Calibri"/>
          <w:b/>
          <w:color w:val="1A2010"/>
          <w:sz w:val="40"/>
        </w:rPr>
        <w:t xml:space="preserve">  Brightstar Lottery PLC</w:t>
      </w:r>
    </w:p>
    <w:p>
      <w:pPr>
        <w:spacing w:after="120"/>
      </w:pPr>
      <w:r>
        <w:rPr>
          <w:rFonts w:ascii="Calibri" w:hAnsi="Calibri"/>
          <w:b/>
          <w:color w:val="6E8450"/>
          <w:sz w:val="18"/>
        </w:rPr>
        <w:t>DIVIDEND SLEEVE · 2026-04-25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NYSE · United Kingdom</w:t>
      </w:r>
    </w:p>
    <w:p>
      <w:pPr>
        <w:spacing w:after="80"/>
      </w:pPr>
      <w:r>
        <w:rPr>
          <w:rFonts w:ascii="Calibri" w:hAnsi="Calibri"/>
          <w:b w:val="0"/>
          <w:color w:val="3A4A28"/>
          <w:sz w:val="20"/>
        </w:rPr>
        <w:t>Brightstar Lottery PLC (formerly International Game Technology PLC) is a pure-play global lottery technology and services company following the July 2025 sale of its Gaming &amp; Digital business to Apollo Global Management for $4.1B. The company designs, operates, and services lottery systems, produces instant ticket games, provides iLottery platforms, and offers player engagement and marketing services. Brightstar operates across the U.S., Italy (Lotto Italia concession), and internationally, generating $2.51B in 2025 revenue.</w:t>
      </w:r>
    </w:p>
    <w:p>
      <w:r>
        <w:rPr>
          <w:rFonts w:ascii="Calibri" w:hAnsi="Calibri"/>
          <w:b/>
          <w:color w:val="6E8450"/>
          <w:sz w:val="18"/>
        </w:rPr>
        <w:t>5,746 Employees · https://www.brightstarlottery.com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Brightstar executed a transformative corporate restructuring in 2025 — selling the Gaming &amp; Digital business to Apollo for $4.1B to become a focused lottery pure-play [1]. However, the lottery segment's organic revenue has been essentially flat ($2.60B in 2022 to $2.51B in 2025), indicating no meaningful growth innovation in the core business. The Lotto Italia concession renewal ($926M upfront) secures revenue for nine years but is a contract renewal, not innovation. AI Deployment (1/2): Brightstar leverages AI-driven CRM tools, predictive analytics, and Player Marketing Services to optimize campaign targeting and player engagement for lottery customers [2]. These are deployed products but represent incremental AI adoption rather than transformative deployment. Market Share (2/2): Brightstar is the global leader in lottery technology and services, operating lottery systems in major jurisdictions including the U.S. and Italy's flagship Lotto Italia [1]. The company holds dominant market share in a concentrated industry with significant barriers to entry. Pipeline (1/2): The São Paulo lottery launch and Italy B2C digital expansion provide visible growth catalysts through 2028, with FY2026 guidance targeting 5%+ organic growth [1]. R&amp;D Intensity (0/1): R&amp;D spending is not prominently disclosed and appears below average for a technology services company; the business is primarily operations and services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Brightstar's stated purpose — to 'elevate lotteries and inspire players' with a focus on 'responsible, sustainable solutions' — is clear and specific to the lottery industry [2]. CEO Sadusky emphasizes a 'nearly 50-year history of reliability, innovation, and leadership in lottery' as the foundation for the new brand. The mission is distinctive within the gambling sector but doesn't articulate a transformative vision. Community Impact (1/2): Brightstar scored nearly double the industry average on S&amp;P Global sustainability metrics and was included in the Sustainability Yearbook [3]. The company emphasizes responsible gaming as a core commitment. Lottery operations inherently benefit public education and social programs through state lottery proceeds. Employee Retention (1/2): The company has 5,746 employees following the gaming division sale. The transition from IGT to Brightstar involved significant organizational change, but CEO Sadusky provides continuity and the standalone structure may improve focus and culture. No specific retention metrics available. Insider Buying (1/2): No insider transaction data available from public sources [4]. The $1.1B capital return to shareholders ($3.02/share special dividend) following the gaming sale demonstrates commitment to shareholder value, though this is not the same as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of 270.4% scores 0.13 — heavily leveraged partly from the Lotto Italia concession payment ($926M upfront). ROE of 7.4% scores 0.49. Revenue growth YoY of 2.6% scores 0.75. 5yr revenue CAGR of approximately -1.0% scores 0.27 — flat to declining revenue. Forward P/E of 12.0 scores 1.00 — cheap valuation. Profit margin of 5.9% scores 0.29 — thin margins depressed by the Italy concession amortization. Payout ratio of ~85% (normalized) scores 0.25. Consecutive years paid of ~5 scores 0.50 (2x weight). Consecutive years growth of 0 scores 0.00. 5yr dividend growth CAGR of ~3% scores 0.50 (2x weight). Weighted sum 5.18/12 = 4 [4]. Liquidity floor cleared: $18.2M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Brightstar's transformation from a diversified gaming conglomerate into a focused lottery pure-play demonstrates strategic flexibility, but the company's near-term financial profile — elevated debt from the Italy concession, flat revenue, and thin margins — reflects a business focused on contract execution rather than cause-driven leadership. The 50-year heritage provides institutional memory, but the new Brightstar identity is untested.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Brightstar's purpose of 'elevating lotteries and inspiring players' is specific to its industry but doesn't articulate a vision of a better future that inspires sacrifice [2]. The company exists to operate lottery systems efficiently and profitably. While lottery proceeds fund public education and social programs, Brightstar positions itself as a technology/services provider rather than a mission-driven organization.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navigated a major corporate restructuring — selling the gaming division, rebranding, and reorganizing — which tests organizational trust. CEO Sadusky provides leadership continuity through the transition. The company's S&amp;P Sustainability Yearbook inclusion suggests adequate governance practices [3]. However, the headcount reduction from the gaming sale and ongoing transformation create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Brightstar positions itself as the global lottery leader with dominant market share, emphasizing 'nearly 50 years of reliability, innovation, and leadership' [2]. The competitive language focuses on market dominance rather than learning from rivals like Scientific Games/Lottery.com. The lottery industry's concentrated structure with long-term concessions doesn't naturally foster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$4.1B sale of the Gaming &amp; Digital business to Apollo represents a significant strategic pivot — voluntarily shedding half the company to become a focused lottery pure-play [1]. This required abandoning profitable businesses (casino gaming, digital gambling) to concentrate on the lottery opportunity. The pivot was incremental (lottery was already the core)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Spending $926M upfront for the nine-year Lotto Italia concession required conviction in long-term payback despite crushing near-term profitability (income from continuing operations fell 50% to $135M in FY2025) [1]. Returning $1.1B to shareholders via special dividend rather than hoarding cash also showed decisiveness. However, these are financially rational decisions rather than principled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Brightstar Lottery is a newly created pure-play global lottery technology leader trading at a cheap 12x forward P/E with a 7.1% dividend yield — a compelling income proposition if the business stabilizes post-restructuring [4]. The company secured the Lotto Italia concession through 2034 ($926M upfront investment) and holds dominant market positions in U.S. state lotteries, providing highly visible, recurring revenue streams [1]. FY2026 guidance of $2.5-$2.55B revenue (5%+ organic growth) and $1.16-$1.19B adjusted EBITDA signals improving profitability as the Italy concession costs amortize. The São Paulo lottery launch and Italy B2C digital expansion provide incremental growth catalysts through 2028. The $1.1B capital return ($3.02/share special dividend) following the gaming sale demonstrates shareholder-friendly capital allocation. Lottery operations benefit from government-granted monopolies with extremely high switching costs and regulatory barriers to entry.</w:t>
      </w:r>
    </w:p>
    <w:p>
      <w:pPr>
        <w:spacing w:after="120"/>
      </w:pPr>
      <w:r>
        <w:rPr>
          <w:rFonts w:ascii="Calibri" w:hAnsi="Calibri"/>
          <w:b w:val="0"/>
          <w:color w:val="3A4A28"/>
          <w:sz w:val="20"/>
        </w:rPr>
        <w:t>The bear case focuses on leverage, governance risk, and stagnant growth. D/E of 270% is extremely elevated, with $4.3B in debt against a $2.4B market cap — the company is essentially a leveraged play on lottery concessions [4]. The Lotto Italia upfront payment crushed FY2025 profitability (income from continuing operations down 50% to $135M), and margin recovery depends on successful B2C digital ramp. Revenue has been flat to declining for three years ($2.60B to $2.51B), and even the optimistic 2026 guidance implies only mid-single-digit growth. IGT faced controversies including $180K in Texas Lottery contract fines for political contributions and allegations related to lottery terminal deliveries enabling jackpot irregularities [3]. The gambling sector carries inherent regulatory risk — any tightening of lottery regulations could impair concession values. Trailing EPS of -$0.01 means the company is currently unprofitable on a GAAP basis, and the 85% normalized payout ratio provides minimal margin of safety for the dividend. The newly created Brightstar entity has no operating history as a standalone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Lotto Italia B2C digital expansion — transitioning Italian players to online lottery could drive margin expansion and incremental revenue through 2028 as digital adoption accelerates [1]</w:t>
      </w:r>
    </w:p>
    <w:p>
      <w:pPr>
        <w:spacing w:before="40" w:after="40"/>
        <w:ind w:left="283"/>
      </w:pPr>
      <w:r>
        <w:rPr>
          <w:rFonts w:ascii="Calibri" w:hAnsi="Calibri"/>
          <w:b/>
          <w:color w:val="4A6B25"/>
          <w:sz w:val="20"/>
        </w:rPr>
        <w:t xml:space="preserve">2. </w:t>
      </w:r>
      <w:r>
        <w:rPr>
          <w:rFonts w:ascii="Calibri" w:hAnsi="Calibri"/>
          <w:b w:val="0"/>
          <w:color w:val="3A4A28"/>
          <w:sz w:val="20"/>
        </w:rPr>
        <w:t>São Paulo lottery launch — new market entry provides organic revenue growth opportunity in one of the world's largest lottery markets [1]</w:t>
      </w:r>
    </w:p>
    <w:p>
      <w:pPr>
        <w:spacing w:before="40" w:after="40"/>
        <w:ind w:left="283"/>
      </w:pPr>
      <w:r>
        <w:rPr>
          <w:rFonts w:ascii="Calibri" w:hAnsi="Calibri"/>
          <w:b/>
          <w:color w:val="4A6B25"/>
          <w:sz w:val="20"/>
        </w:rPr>
        <w:t xml:space="preserve">3. </w:t>
      </w:r>
      <w:r>
        <w:rPr>
          <w:rFonts w:ascii="Calibri" w:hAnsi="Calibri"/>
          <w:b w:val="0"/>
          <w:color w:val="3A4A28"/>
          <w:sz w:val="20"/>
        </w:rPr>
        <w:t>Profitability recovery — FY2025 margins were depressed by $926M Lotto Italia concession payment; normalized earnings of $1.08 FY2026 EPS would support the 12x forward multiple and 7%+ dividend yield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D/E of 270% with $4.3B debt creates refinancing risk and limits financial flexibility; a credit downgrade could spike borrowing costs on this capital-intensive concession model [4]</w:t>
      </w:r>
    </w:p>
    <w:p>
      <w:pPr>
        <w:spacing w:before="40" w:after="40"/>
        <w:ind w:left="283"/>
      </w:pPr>
      <w:r>
        <w:rPr>
          <w:rFonts w:ascii="Calibri" w:hAnsi="Calibri"/>
          <w:b/>
          <w:color w:val="4A6B25"/>
          <w:sz w:val="20"/>
        </w:rPr>
        <w:t xml:space="preserve">2. </w:t>
      </w:r>
      <w:r>
        <w:rPr>
          <w:rFonts w:ascii="Calibri" w:hAnsi="Calibri"/>
          <w:b w:val="0"/>
          <w:color w:val="3A4A28"/>
          <w:sz w:val="20"/>
        </w:rPr>
        <w:t>Flat organic revenue trajectory — three consecutive years of revenue decline ($2.60B to $2.51B) with only mid-single-digit growth guided for 2026 suggests the core lottery market is mature with limited growth levers [1]</w:t>
      </w:r>
    </w:p>
    <w:p>
      <w:pPr>
        <w:spacing w:before="40" w:after="40"/>
        <w:ind w:left="283"/>
      </w:pPr>
      <w:r>
        <w:rPr>
          <w:rFonts w:ascii="Calibri" w:hAnsi="Calibri"/>
          <w:b/>
          <w:color w:val="4A6B25"/>
          <w:sz w:val="20"/>
        </w:rPr>
        <w:t xml:space="preserve">3. </w:t>
      </w:r>
      <w:r>
        <w:rPr>
          <w:rFonts w:ascii="Calibri" w:hAnsi="Calibri"/>
          <w:b w:val="0"/>
          <w:color w:val="3A4A28"/>
          <w:sz w:val="20"/>
        </w:rPr>
        <w:t>Governance and regulatory risk — IGT/Brightstar's Texas Lottery contract fines and terminal delivery controversies highlight operational risk; lottery concession values are highly sensitive to regulatory changes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Lottery technology and operations are deeply regulated, requiring government licenses, rigorous security certifications, and long-term concession agreements that AI cannot displace [1]. Brightstar's core business — operating lottery transaction processing systems, producing instant tickets, and managing lottery infrastructure — involves physical-world operations (ticket printing, retail terminal networks) and regulatory relationships built over decades. Switching costs are extremely high: replacing a state's lottery system is a multi-year, high-stakes process. However, AI could theoretically enhance competitor offerings or enable new lottery operators, and AI-generated gaming concepts could shift player preferences away from traditional lottery products. AI Opportunity (1/1): Brightstar actively deploys AI-driven CRM, predictive analytics, and Player Marketing Services to help lottery customers optimize player engagement and drive sales growth through iLottery and Connected Play platforms [2]. This generates incremental value from the installed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Brightstar Lottery PLC Q4 and Full-Year 2025 Results — $2.51B revenue, $135M income, $926M Lotto Italia concession; 2026 guidance $2.5-$2.55B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Brightstar Lottery corporate press releases — CEO Vince Sadusky rebrand announcement, AI-driven CRM and Player Marketing Services, innovation strategy, July 2025</w:t>
      </w:r>
    </w:p>
    <w:p>
      <w:pPr>
        <w:spacing w:before="20" w:after="20"/>
        <w:ind w:left="170"/>
      </w:pPr>
      <w:r>
        <w:rPr>
          <w:rFonts w:ascii="Calibri" w:hAnsi="Calibri"/>
          <w:b/>
          <w:color w:val="4A6B25"/>
          <w:sz w:val="15"/>
        </w:rPr>
        <w:t xml:space="preserve">3. </w:t>
      </w:r>
      <w:r>
        <w:rPr>
          <w:rFonts w:ascii="Calibri" w:hAnsi="Calibri"/>
          <w:b w:val="0"/>
          <w:color w:val="3A4A28"/>
          <w:sz w:val="17"/>
        </w:rPr>
        <w:t>Texas Scorecard — IGT/Brightstar Texas Lottery controversies; S&amp;P Global Sustainability Yearbook inclusion; ESG documentation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financial data for BRSL (Brightstar Lottery),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