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BRTX</w:t>
      </w:r>
      <w:r>
        <w:rPr>
          <w:rFonts w:ascii="Calibri" w:hAnsi="Calibri"/>
          <w:b/>
          <w:color w:val="1A2010"/>
          <w:sz w:val="40"/>
        </w:rPr>
        <w:t xml:space="preserve">  BioRestorative Therapies, Inc.</w:t>
      </w:r>
    </w:p>
    <w:p>
      <w:pPr>
        <w:spacing w:after="120"/>
      </w:pPr>
      <w:r>
        <w:rPr>
          <w:rFonts w:ascii="Calibri" w:hAnsi="Calibri"/>
          <w:b/>
          <w:color w:val="6E8450"/>
          <w:sz w:val="18"/>
        </w:rPr>
        <w:t>GROWTH SLEEVE · 2026-03-27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BioRestorative Therapies is a clinical-stage company developing therapeutic products using cell and tissue protocols primarily involving adult stem cells. Its lead programs target treatment of disc/spine disease (BRTX-100) and metabolic diseases through its ThermoStem brown fat program.</w:t>
      </w:r>
    </w:p>
    <w:p>
      <w:r>
        <w:rPr>
          <w:rFonts w:ascii="Calibri" w:hAnsi="Calibri"/>
          <w:b/>
          <w:color w:val="6E8450"/>
          <w:sz w:val="18"/>
        </w:rPr>
        <w:t>11 Employees · https://www.biorestorative.com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BioRestorative has developed a proprietary stem cell-based approach (BRTX-100) for disc/spine disease, representing genuine scientific novelty, but clinical development has been extremely slow with minimal progress over multiple years [1]. AI Deployment (0/2): No evidence of AI deployment in any aspect of the business [1]. Market Share Leadership (1/2): The stem cell therapy for disc disease targets an underserved market, but the company has no commercial products and no meaningful market presence [1]. Product Pipeline (1/2): BRTX-100 for disc disease and ThermoStem for metabolic disorders represent the pipeline, but timelines are vague and progress has been glacial [1]. R&amp;D Intensity (0/1): R&amp;D spending is minimal in absolute terms given the company's microscopic scale and 11-person team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Developing regenerative stem cell therapies for debilitating diseases is a meaningful cause with genuine potential to reduce human suffering, particularly in chronic back pain which affects millions [1]. Community Impact (1/2): The therapeutic focus on disc disease and metabolic conditions could have broad social impact if successful, but no products are commercialized [1]. Employee Retention (1/2): With only 11 employees, the company operates as a skeleton crew; retention data is unavailable [1]. Insider Buying (0/2): No evidence of significant insider buying, and the stock's decline from $2.10 to $0.30 suggests management has not been buying at distressed levels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9,111,234 shares at $0.30 = ~$2.7M daily dollar volume passes the $1M floor. However, BioRestorative's financials are catastrophic — ROE is -208%, profit margin is 0%, forward P/E is -0.31, and revenue was only $383K (down 94.9% YoY) [1]. D/E is unavailable, market cap is just $6.4M, and the company has only 11 employees. This is essentially a shell company with limited clinical-stage assets and negligible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BioRestorative operates in pure survival mode with a $6.4M market cap, 11 employees, declining revenue, and no visible path to commercial viability without significant external funding — the infinite game cannot be played without resources to stay in it.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regenerative stem cell therapies for chronic pain and metabolic disease represents a genuinely meaningful cause, even if the company lacks resources to execute on the vision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11 employees, a 95% revenue decline, and a stock price at $0.30 (down 86% from 52-week high), organizational stability and team trust are severely compromised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BioRestorative competes against well-funded stem cell and regenerative medicine companies with vastly greater resources; the competitive dynamic is one of survival rather than rivalry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ThermoStem metabolic program provides some strategic optionality beyond disc disease, but the company lacks resources to meaningfully advance either program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Persisting as a public company with 11 employees and $383K in annual revenue requires a form of courage, but the viability of this approach is increasingly questionable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BioRestorative's BRTX-100 stem cell therapy for disc disease targets a massive unmet medical need — chronic lower back pain affects tens of millions globally with limited effective treatments. If clinical data validates the approach, the company's IP and first-mover position could attract acquisition interest from larger regenerative medicine companies at a premium to its current $6.4M market cap. The stock at $0.30 prices in near-total failure, meaning any positive clinical catalyst could generate outsized returns on a percentage basis.</w:t>
      </w:r>
    </w:p>
    <w:p>
      <w:pPr>
        <w:spacing w:after="120"/>
      </w:pPr>
      <w:r>
        <w:rPr>
          <w:rFonts w:ascii="Calibri" w:hAnsi="Calibri"/>
          <w:b w:val="0"/>
          <w:color w:val="3A4A28"/>
          <w:sz w:val="20"/>
        </w:rPr>
        <w:t>The bear case is overwhelming — BioRestorative has 11 employees, $383K in annual revenue (down 95%), a $6.4M market cap, and ROE of -208% [1]. Clinical development has been glacially slow with no clear path to pivotal trials or FDA approval without massive additional capital that would be extremely dilutive at current share prices. The stock has declined 86% from its 52-week high of $2.10, and there is substantial risk of NASDAQ delisting, reverse stock splits, or bankruptcy. This is a speculative lottery ticket with asymmetric downside — the most likely outcome is continued value destruction for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positive BRTX-100 clinical data readout could generate significant stock price movement from the $0.30 base [1]</w:t>
      </w:r>
    </w:p>
    <w:p>
      <w:pPr>
        <w:spacing w:before="40" w:after="40"/>
        <w:ind w:left="283"/>
      </w:pPr>
      <w:r>
        <w:rPr>
          <w:rFonts w:ascii="Calibri" w:hAnsi="Calibri"/>
          <w:b/>
          <w:color w:val="4A6B25"/>
          <w:sz w:val="20"/>
        </w:rPr>
        <w:t xml:space="preserve">2. </w:t>
      </w:r>
      <w:r>
        <w:rPr>
          <w:rFonts w:ascii="Calibri" w:hAnsi="Calibri"/>
          <w:b w:val="0"/>
          <w:color w:val="3A4A28"/>
          <w:sz w:val="20"/>
        </w:rPr>
        <w:t>Partnership or acquisition by a larger regenerative medicine company seeking stem cell IP and clinical data [1]</w:t>
      </w:r>
    </w:p>
    <w:p>
      <w:pPr>
        <w:spacing w:before="40" w:after="40"/>
        <w:ind w:left="283"/>
      </w:pPr>
      <w:r>
        <w:rPr>
          <w:rFonts w:ascii="Calibri" w:hAnsi="Calibri"/>
          <w:b/>
          <w:color w:val="4A6B25"/>
          <w:sz w:val="20"/>
        </w:rPr>
        <w:t xml:space="preserve">3. </w:t>
      </w:r>
      <w:r>
        <w:rPr>
          <w:rFonts w:ascii="Calibri" w:hAnsi="Calibri"/>
          <w:b w:val="0"/>
          <w:color w:val="3A4A28"/>
          <w:sz w:val="20"/>
        </w:rPr>
        <w:t>ThermoStem metabolic program advancement could provide additional pipeline value and investor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survival risk — $6.4M market cap with negligible revenue and no disclosed cash runway raises going concern questions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if the stock remains below $1.00 for an extended period, further reducing liquidity and institutional interest [1]</w:t>
      </w:r>
    </w:p>
    <w:p>
      <w:pPr>
        <w:spacing w:before="40" w:after="40"/>
        <w:ind w:left="283"/>
      </w:pPr>
      <w:r>
        <w:rPr>
          <w:rFonts w:ascii="Calibri" w:hAnsi="Calibri"/>
          <w:b/>
          <w:color w:val="4A6B25"/>
          <w:sz w:val="20"/>
        </w:rPr>
        <w:t xml:space="preserve">3. </w:t>
      </w:r>
      <w:r>
        <w:rPr>
          <w:rFonts w:ascii="Calibri" w:hAnsi="Calibri"/>
          <w:b w:val="0"/>
          <w:color w:val="3A4A28"/>
          <w:sz w:val="20"/>
        </w:rPr>
        <w:t>Clinical failure of BRTX-100 would likely result in near-total loss for equity investors given the company's limited pipeline and resources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Stem cell therapy development and clinical trials require deep biological expertise and physical laboratory work that AI cannot replace [1]. The regulatory pathway for cell-based therapies provides some protective barriers. AI Opportunity (0/1): No evidence of AI-driven drug development or clinical optimization, which is unsurprising for an 11-person company with negligible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BioRestorative Therapies SEC Filings and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BRTX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