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BRX</w:t>
      </w:r>
      <w:r>
        <w:rPr>
          <w:rFonts w:ascii="Calibri" w:hAnsi="Calibri"/>
          <w:b/>
          <w:color w:val="1A2010"/>
          <w:sz w:val="40"/>
        </w:rPr>
        <w:t xml:space="preserve">  Brixmor Property Group, Inc.</w:t>
      </w:r>
    </w:p>
    <w:p>
      <w:pPr>
        <w:spacing w:after="120"/>
      </w:pPr>
      <w:r>
        <w:rPr>
          <w:rFonts w:ascii="Calibri" w:hAnsi="Calibri"/>
          <w:b/>
          <w:color w:val="6E8450"/>
          <w:sz w:val="18"/>
        </w:rPr>
        <w:t>DIVIDEND SLEEVE · 2026-04-10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Brixmor Property Group is one of the largest open-air retail real estate investment trusts in the United States, owning and operating approximately 360 grocery-anchored and community shopping centers across the country. The portfolio totals approximately 63 million square feet of retail space, generating $1.37B in annual revenue.</w:t>
      </w:r>
    </w:p>
    <w:p>
      <w:r>
        <w:rPr>
          <w:rFonts w:ascii="Calibri" w:hAnsi="Calibri"/>
          <w:b/>
          <w:color w:val="6E8450"/>
          <w:sz w:val="18"/>
        </w:rPr>
        <w:t>462 Employees · https://www.brixmor.com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Brixmor has executed a portfolio remixing strategy over the past five years, recycling capital from weaker assets into higher-quality grocery-anchored centers, growing same-property NOI by 4.2% in 2025 [1]. Revenue grew from $1.22B to $1.37B (3-year CAGR of 4.0%), which is incremental improvement rather than transformative [4]. AI Deployment (1/2): Brixmor has deployed early AI and automation tools for lease abstraction, tenant health analysis, and leasing prospecting, with management noting 'positive results' from these initiatives on the Q4 earnings call [2]. Market Share (1/2): Brixmor is one of the largest open-air retail REITs with ~360 centers and 63M sq ft, maintaining a strong competitive position in the grocery-anchored segment, though it is smaller than Kimco Realty and Regency Centers [1]. Pipeline (1/2): The signed-but-not-commenced pipeline of $43M in incremental base rent provides near-term revenue visibility, and 2026 guidance of 4.5-5.5% same-property NOI growth is credible [1]. R&amp;D Intensity (0/1): REITs do not report R&amp;D spending; not applicable.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Brixmor's purpose centers on creating vibrant, connected communities through high-quality retail environments — clear and relevant but not distinctive enough to differentiate from any retail REIT peer [2]. Community Impact (1/2): Brixmor published its fifth Corporate Responsibility Report highlighting a 40.3% reduction in Scope 1 and 2 GHG emissions from the 2018 baseline, demonstrating genuine environmental commitment, though charitable giving specifics are limited [3]. Employee Retention (1/2): The lean team of 462 employees with a 20-year institutional knowledge base (incoming CEO Finnegan served 20+ years) suggests stability, though the Comparably B- culture rating is below average [2]. Insider Buying (1/2): An Insider Monkey report noted 'CEO snaps up shares at Brixmor,' suggesting meaningful insider buying by leadership, which signals conviction in the company's trajectory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Brixmor's financial profile is solid for a REIT with profit margin of 28.2% and revenue growth of 7.7% YoY on a $1.37B base [1][4]. D/E of 184% is elevated but typical for leveraged REITs that use mortgage debt to finance property portfolios; the company has $5.5B in total debt against $334M in cash. ROE of 12.9% is below the 15% target but acceptable for the REIT sector where returns are distributed to shareholders. Forward P/E of 26.9x is above the 20x target, though FFO-based metrics ($2.35 midpoint / $29.57 = 12.6x P/FFO) are more appropriate for REITs. The dividend is strong: 4.02% yield, 10+ consecutive years paid, and 7.5% five-year CAGR growth [4]. The payout ratio of 93.6% is elevated but structurally required for REITs (90% distribution rule). Liquidity is ample at $87M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Brixmor demonstrates mixed infinite game characteristics. The patient portfolio remixing strategy and 20-year institutional leadership suggest long-term orientation, but the company operates in a fundamentally transactional real estate business where quarterly FFO and dividend growth drive the investment narrative. The smooth CEO succession from Taylor to Finnegan shows organizational stability.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Brixmor's purpose — creating vibrant retail communities — is genuine but functional. The company exists to own and lease shopping centers profitably, which is not a cause that inspires sacrifice. The 360-center portfolio serves real community needs (grocery, dining, services), but this is a business model, not a Just Cause in Sinek's framework [2]. Score: 1/3 weighted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lean 462-person organization with a successful internal CEO succession (Finnegan promoted after 20+ years) demonstrates trust in institutional talent. However, Comparably's B- culture rating and the small workforce size limit evidence of organizational trust at scale [2]. The CEO succession was smooth and well-planned, suggesting adequate internal governance. Score: 1/2 weighted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Brixmor competes constructively with Kimco Realty, Regency Centers, and other retail REITs, focusing on improving its own portfolio quality through remixing rather than aggressive competitive strategies. Management commentary focuses on improving same-property NOI and tenant quality rather than taking share from rivals [1]. Score: 1/1 weighted points.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Brixmor has not demonstrated transformative strategic flexibility. The company has incrementally improved its portfolio by recycling capital from lower-quality to higher-quality centers, but the core business model — owning and leasing open-air retail properties — has remained unchanged since inception [1]. REITs are structurally limited in their ability to pivot by their tax-advantaged structure and investor expectations. Score: 0/2 weighted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portfolio remixing strategy — selling weaker assets and investing in higher-quality centers even when near-term FFO is diluted — shows some courage in prioritizing long-term portfolio quality over short-term earnings. CEO insider buying also signals leadership conviction [2]. However, these are standard REIT capital allocation decisions rather than transformative leadership choices. Score: 1/2 weighted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Brixmor Property Group is one of the largest open-air retail REITs in the US with approximately 360 grocery-anchored centers generating $1.37B in revenue and $693M in NAREIT FFO ($2.25/share) in 2025 [1]. The company benefits from structural tailwinds: grocery-anchored centers enjoy high foot traffic from necessity-based tenants, limited new retail construction is tightening supply, and the 4.5-5.5% same-property NOI growth guidance for 2026 reflects strong fundamentals [1]. At a 4.02% dividend yield with 7.5% five-year CAGR growth, BRX offers compelling income with growth. The $43M signed-but-not-commenced pipeline and improving tenant credit trends provide near-term revenue visibility. CEO succession to Finnegan after 20+ years ensures strategic continuity [2].</w:t>
      </w:r>
    </w:p>
    <w:p>
      <w:pPr>
        <w:spacing w:after="120"/>
      </w:pPr>
      <w:r>
        <w:rPr>
          <w:rFonts w:ascii="Calibri" w:hAnsi="Calibri"/>
          <w:b w:val="0"/>
          <w:color w:val="3A4A28"/>
          <w:sz w:val="20"/>
        </w:rPr>
        <w:t>The bear case centers on REIT-specific risks. D/E of 184% with $5.5B in total debt creates interest rate sensitivity — rising rates increase financing costs and compress REIT valuations [4]. The forward P/E of 26.9x (though P/FFO of ~12.6x is more appropriate) appears elevated relative to mid-single-digit growth expectations. Payout ratio of 93.6% leaves minimal room for error — any NOI shortfall would pressure the dividend. Revenue CAGR of 4.0% over three years is pedestrian, and the retail real estate market remains vulnerable to tenant bankruptcies and consumer spending slowdowns. The Comparably B- culture rating is a flag for a company with only 462 employees, where culture directly impacts execution. E-commerce penetration continues to grow, and while grocery-anchored centers are relatively protected, non-anchor tenant mix faces ongoing digital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4.5-5.5% same-property NOI growth guidance for 2026, supported by $43M signed-but-not-commenced pipeline and 450+ bps of base rent contribution expected to commence throughout the year [1]</w:t>
      </w:r>
    </w:p>
    <w:p>
      <w:pPr>
        <w:spacing w:before="40" w:after="40"/>
        <w:ind w:left="283"/>
      </w:pPr>
      <w:r>
        <w:rPr>
          <w:rFonts w:ascii="Calibri" w:hAnsi="Calibri"/>
          <w:b/>
          <w:color w:val="4A6B25"/>
          <w:sz w:val="20"/>
        </w:rPr>
        <w:t xml:space="preserve">2. </w:t>
      </w:r>
      <w:r>
        <w:rPr>
          <w:rFonts w:ascii="Calibri" w:hAnsi="Calibri"/>
          <w:b w:val="0"/>
          <w:color w:val="3A4A28"/>
          <w:sz w:val="20"/>
        </w:rPr>
        <w:t>Grocery-anchored positioning benefits from limited new retail construction and tightening supply, driving occupancy gains and rent growth across the 360-center portfolio [1]</w:t>
      </w:r>
    </w:p>
    <w:p>
      <w:pPr>
        <w:spacing w:before="40" w:after="40"/>
        <w:ind w:left="283"/>
      </w:pPr>
      <w:r>
        <w:rPr>
          <w:rFonts w:ascii="Calibri" w:hAnsi="Calibri"/>
          <w:b/>
          <w:color w:val="4A6B25"/>
          <w:sz w:val="20"/>
        </w:rPr>
        <w:t xml:space="preserve">3. </w:t>
      </w:r>
      <w:r>
        <w:rPr>
          <w:rFonts w:ascii="Calibri" w:hAnsi="Calibri"/>
          <w:b w:val="0"/>
          <w:color w:val="3A4A28"/>
          <w:sz w:val="20"/>
        </w:rPr>
        <w:t>CEO transition to Brian Finnegan, a 20-year company veteran, ensuring strategic continuity while bringing fresh operational energy to portfolio optimization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Interest rate sensitivity — $5.5B in debt with D/E of 184% means rising rates increase financing costs and compress REIT multiples, directly impacting the stock's income-investor appeal [4]</w:t>
      </w:r>
    </w:p>
    <w:p>
      <w:pPr>
        <w:spacing w:before="40" w:after="40"/>
        <w:ind w:left="283"/>
      </w:pPr>
      <w:r>
        <w:rPr>
          <w:rFonts w:ascii="Calibri" w:hAnsi="Calibri"/>
          <w:b/>
          <w:color w:val="4A6B25"/>
          <w:sz w:val="20"/>
        </w:rPr>
        <w:t xml:space="preserve">2. </w:t>
      </w:r>
      <w:r>
        <w:rPr>
          <w:rFonts w:ascii="Calibri" w:hAnsi="Calibri"/>
          <w:b w:val="0"/>
          <w:color w:val="3A4A28"/>
          <w:sz w:val="20"/>
        </w:rPr>
        <w:t>Tenant credit risk — retail tenant bankruptcies or store closures could increase vacancy rates, with revenues deemed uncollectable guided at 75-100 bps of total revenues [1]</w:t>
      </w:r>
    </w:p>
    <w:p>
      <w:pPr>
        <w:spacing w:before="40" w:after="40"/>
        <w:ind w:left="283"/>
      </w:pPr>
      <w:r>
        <w:rPr>
          <w:rFonts w:ascii="Calibri" w:hAnsi="Calibri"/>
          <w:b/>
          <w:color w:val="4A6B25"/>
          <w:sz w:val="20"/>
        </w:rPr>
        <w:t xml:space="preserve">3. </w:t>
      </w:r>
      <w:r>
        <w:rPr>
          <w:rFonts w:ascii="Calibri" w:hAnsi="Calibri"/>
          <w:b w:val="0"/>
          <w:color w:val="3A4A28"/>
          <w:sz w:val="20"/>
        </w:rPr>
        <w:t>Limited growth ceiling — revenue CAGR of 4.0% and inherent REIT structural constraints (90%+ distribution requirement) limit reinvestment capacity and long-term earnings growth potential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Open-air retail real estate is structurally immune to AI disruption. Physical shopping centers anchored by grocery stores serve essential in-person needs — grocery shopping, restaurant dining, medical offices, fitness centers — that AI cannot substitute [2]. AI actually increases demand for last-mile fulfillment locations, as e-commerce companies use retail spaces for micro-fulfillment and click-and-collect. Brixmor's grocery-anchored positioning ensures high foot traffic from necessity-based tenants. The physical nature of owning, maintaining, and leasing real property cannot be disrupted by software. AI Opportunity (0/1): While Brixmor uses AI for internal operations (lease abstraction, tenant analysis), there is no quantifiable AI-generated revenue. AI is an efficiency tool, not a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Brixmor Property Group Q4/FY 2025 Earnings Release — $693.3M NAREIT FFO, $2.25/share, 2026 guidance $2.33-$2.37, February 2026</w:t>
      </w:r>
    </w:p>
    <w:p>
      <w:pPr>
        <w:spacing w:before="20" w:after="20"/>
        <w:ind w:left="170"/>
      </w:pPr>
      <w:r>
        <w:rPr>
          <w:rFonts w:ascii="Calibri" w:hAnsi="Calibri"/>
          <w:b/>
          <w:color w:val="4A6B25"/>
          <w:sz w:val="15"/>
        </w:rPr>
        <w:t xml:space="preserve">2. </w:t>
      </w:r>
      <w:r>
        <w:rPr>
          <w:rFonts w:ascii="Calibri" w:hAnsi="Calibri"/>
          <w:b w:val="0"/>
          <w:color w:val="3A4A28"/>
          <w:sz w:val="17"/>
        </w:rPr>
        <w:t>Brixmor Property Group CEO Update, Comparably, Insider Monkey — CEO succession, culture rating, insider buying, AI initiatives, 2025-2026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Brixmor Corporate Responsibility Report — ESG rating, 40.3% GHG reduction from 2018 baseline, July 2023</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BRX (Brixmor Property Group),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