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w:t>
      </w:r>
      <w:r>
        <w:rPr>
          <w:rFonts w:ascii="Calibri" w:hAnsi="Calibri"/>
          <w:b/>
          <w:color w:val="1A2010"/>
          <w:sz w:val="40"/>
        </w:rPr>
        <w:t xml:space="preserve">  Broadridge Financial Solutions, Inc.</w:t>
      </w:r>
    </w:p>
    <w:p>
      <w:pPr>
        <w:spacing w:after="120"/>
      </w:pPr>
      <w:r>
        <w:rPr>
          <w:rFonts w:ascii="Calibri" w:hAnsi="Calibri"/>
          <w:b/>
          <w:color w:val="6E8450"/>
          <w:sz w:val="18"/>
        </w:rPr>
        <w:t>DIVIDEND SLEEVE · 2026-04-28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Broadridge Financial Solutions is a global fintech leader providing investor communications, technology-driven solutions, and data and analytics to banks, broker-dealers, asset managers, wealth managers, and corporate issuers. Spun off from ADP in 2007, the company processes 7 billion regulatory communications annually and settles approximately $15 trillion in trades daily, serving over 10,000 public companies.</w:t>
      </w:r>
    </w:p>
    <w:p>
      <w:r>
        <w:rPr>
          <w:rFonts w:ascii="Calibri" w:hAnsi="Calibri"/>
          <w:b/>
          <w:color w:val="6E8450"/>
          <w:sz w:val="18"/>
        </w:rPr>
        <w:t>15,000 Employees · https://www.broadridge.com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Broadridge has executed meaningful product expansions over the past five years, most notably the LTX fixed-income trading platform and the development of distributed ledger technology (DLT) capabilities for securities settlement [2]. Revenue grew from approximately $4.5B in FY2020 to $6.9B in FY2025, representing consistent expansion of the addressable market through new product development and strategic acquisitions. AI Deployment (2/2): Broadridge has deployed BondGPT, a generative AI-powered tool integrated into its LTX bond trading platform that assists traders with bond-related queries and identification of corporate bonds [2]. CEO Gokey has stated there are 27 different AI initiatives underway across the company, spanning both existing product enhancement and new AI-powered solution creation. This represents production-scale AI deployment with revenue impact [2]. Market Share (1/2): Broadridge holds a near-monopoly position in investor communications and proxy services, processing 7 billion regulatory communications annually for 10,000+ public companies [2]. While this provides exceptional market share, some critics characterize it as regulatory entrenchment rather than innovative leadership. Product Pipeline (1/2): The appointment of Allen Weinberg as Chief Growth and Strategy Officer in March 2026 in a newly created role focused on identifying new markets and product opportunities signals pipeline investment, though specific next-gen products with launch dates are not publicly detailed beyond the continued expansion of LTX and AI capabilities [2]. R&amp;D Intensity (1/1): Broadridge consistently reinvests in technology, with the 27-initiative AI program and DLT development reflecting above-average R&amp;D commitment for a financial technology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Broadridge's purpose centers on driving innovation in capital markets through technology that makes the financial system more transparent, resilient, and accessible [2]. This is clear and connects technology work to financial market integrity, but it's a functional mission rather than a transformative cause — Broadridge enables the plumbing of Wall Street more than it inspires a vision of a better future. Community Impact (1/2): Governor Hochul announced a $78M investment by Broadridge to retain 2,200 jobs on Long Island and in New York City, demonstrating meaningful local economic commitment [2]. The company publishes responsibility reports and engages in standard corporate citizenship, though no standout charitable dollar amounts or foundation-level giving were identified. Employee Retention (2/2): CEO Tim Gokey has led Broadridge since 2019, having spent prior years in COO and Chief Corporate Development roles — a classic internal promotion reflecting organizational culture [2]. Gokey's emphasis on marrying 'great outside talent with talent that knew the business well' suggests intentional cultural stewardship. His Semafor interview noting he tells new hires not to 'change the world on your first day' reflects a long-term cultural philosophy. The company has 15,000 employees and maintains stable leadership. Insider Buying (1/2): No evidence of significant net insider buying in the past 12 months. Executive compensation is heavily equity-based, aligning interests with shareholders, but proactive insider purchases were not specifically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Broadridge scores exceptionally well on the mechanical Infrastructure calculation, driven by strong profitability metrics and excellent dividend characteristics. D/E of 117.2% is above the 70% target but well below the 300% floor, reflecting capital-efficient leverage for a technology company [4]. ROE of 41.8% is exceptional, far exceeding the 15% target and demonstrating highly efficient capital deployment [1]. Forward P/E of 15.1x is well below the 20x target, attractive for a company guiding to 9-12% adjusted EPS growth in FY2026 [1]. Profit margin of 14.9% is below the 20% target but strong for a company with distribution revenue included. Revenue growth of 7.8% YoY and 5yr CAGR of ~8.9% are near the 10% targets. Dividend metrics are outstanding: payout ratio of 41.0% is near-target, 19 consecutive years paid since the 2007 ADP spinoff, 18 consecutive years of dividend growth, and 5yr dividend growth CAGR of 10.7% — nearly double the target [4]. Liquidity floor cleared easily: 1.61M avg volume × $156.36 = $251M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Broadridge demonstrates solid infinite game characteristics anchored by the company's evolution from an ADP spinoff into a $18B financial technology leader with near-monopoly positions in investor communications and proxy services. CEO Gokey's emphasis on long-term cultural integration, 18 consecutive years of dividend growth since the spinoff, and deliberate investment in next-generation technologies (AI, DLT) reflect a company playing to keep playing rather than win this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Broadridge's purpose — making the financial system more transparent, resilient, and accessible through technology — connects the company's work to the functioning of capital markets that underpin economic growth. The company's role processing 7 billion regulatory communications and settling $15 trillion in trades daily demonstrates that the purpose is lived at scale, not just stated [2]. Since the 2007 ADP spinoff, every strategic decision — LTX development, DLT investment, AI deployment — has aligned with this infrastructure mission. However, the cause is about maintaining financial plumbing rather than creating a transformative future state. Score: 2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Gokey rose through the organization (COO, Chief Corporate Development Officer) before becoming CEO in 2019, reflecting internal talent development [2]. His Semafor interview philosophy — telling new hires not to 'change the world on your first day' — signals a culture that values learning and integration over disruption, which Sinek would associate with psychological safety. Gokey's deliberate approach to 'marrying great outside talent with talent that knew the business' demonstrates trust in existing teams while bringing in complementary skills. The 15,000-person organization has maintained cultural coherence through the post-ADP spinoff era. The $78M New York job retention investment signals that leadership values team stability.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Broadridge competes against SS&amp;C Technologies, FIS, and fintech startups without adopting combative language. CEO Gokey's view that AI solutions for capital markets 'should be built by existing financial technologists' positions domain expertise as Broadridge's advantage without disparaging competitors [2]. The company's near-monopoly in investor communications could foster complacency, but the active investment in adjacent markets (trading, DLT, AI) suggests competitive awareness and a desire to improve rather than merely defend.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Broadridge has evolved meaningfully from a back-office communications processor into a diversified fintech platform spanning investor communications, trading (LTX), analytics, and distributed ledger technology [2]. The company's expansion from proxy services into capital markets technology represents genuine strategic evolution. The AI program with 27 initiatives shows ongoing adaptation. However, the core investor communications business remains the foundation — Broadridge has not abandoned its legacy business model but rather extended from it. The evolution is incremental rather than existential.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Broadridge demonstrated meaningful courage by investing in the LTX fixed-income trading platform and BondGPT when the payoff was uncertain, and by committing to 27 AI initiatives across the company at significant R&amp;D cost [2]. CEO Gokey has maintained technology investment through market volatility rather than cutting R&amp;D to protect quarterly earnings. The $78M investment to retain 2,200 jobs in New York shows commitment to long-term workforce stability over short-term cost optimization. However, Broadridge's near-monopoly in investor communications provides a protected revenue base that reduces the perceived cost of these bets.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Broadridge Financial Solutions is a high-quality fintech compounder trading at an attractive 15.1x forward P/E with 9-12% adjusted EPS growth guidance for FY2026 and 18 consecutive years of dividend increases [1]. The company's near-monopoly in investor communications (7 billion regulatory communications annually for 10,000+ companies) and critical trade settlement infrastructure ($15 trillion daily) create exceptional recurring revenue visibility with high switching costs [2]. Q2 FY2026 showed recurring revenue growth of 9% constant currency, and the 27-initiative AI program led by BondGPT positions Broadridge at the intersection of AI and capital markets — a rare combination of regulatory moat and technology innovation. At 41.8% ROE and with a 10.7% five-year dividend growth CAGR, Broadridge is a capital-efficient compounder with an increasingly attractive yield of 2.5% [4].</w:t>
      </w:r>
    </w:p>
    <w:p>
      <w:pPr>
        <w:spacing w:after="120"/>
      </w:pPr>
      <w:r>
        <w:rPr>
          <w:rFonts w:ascii="Calibri" w:hAnsi="Calibri"/>
          <w:b w:val="0"/>
          <w:color w:val="3A4A28"/>
          <w:sz w:val="20"/>
        </w:rPr>
        <w:t>The bear case centers on valuation compression risk and the inherent tension between monopoly stability and growth acceleration. D/E of 117% reflects meaningful leverage, and while the payout ratio of 41% is manageable, the combination of debt service and growing dividend commitments limits financial flexibility for large acquisitions or organic investment at scale [4]. Revenue growth of 7.8% YoY and 5yr CAGR of 8.9% are solid but not exceptional for a company trading at these multiples — any deceleration in recurring revenue growth below the guided 5-7% range could reprice the stock sharply. The stock has pulled back from $170+ to $156, suggesting the market is already skeptical about near-term momentum. Broadridge's near-monopoly in proxy communications, while a defensive moat, has attracted regulatory scrutiny and criticism as a 'near monopoly' that could face potential competitive reforms [2]. The AI investment program, while extensive (27 initiatives), must demonstrate revenue contribution to justify the R&amp;D spend — BondGPT adoption on LTX is still in early stages. CEO Gokey's leadership since 2019 has been steady but has not yet produced a transformative strategic outcome beyond organic compounding.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adjusted EPS growth guidance to 9-12% with recurring revenue growth reaffirmed at high end of 5-7% constant currency, driven by 4 points of net new business and expanding client base [1]</w:t>
      </w:r>
    </w:p>
    <w:p>
      <w:pPr>
        <w:spacing w:before="40" w:after="40"/>
        <w:ind w:left="283"/>
      </w:pPr>
      <w:r>
        <w:rPr>
          <w:rFonts w:ascii="Calibri" w:hAnsi="Calibri"/>
          <w:b/>
          <w:color w:val="4A6B25"/>
          <w:sz w:val="20"/>
        </w:rPr>
        <w:t xml:space="preserve">2. </w:t>
      </w:r>
      <w:r>
        <w:rPr>
          <w:rFonts w:ascii="Calibri" w:hAnsi="Calibri"/>
          <w:b w:val="0"/>
          <w:color w:val="3A4A28"/>
          <w:sz w:val="20"/>
        </w:rPr>
        <w:t>27 active AI initiatives including BondGPT on the LTX trading platform, positioning Broadridge as the AI leader in capital markets infrastructure with domain expertise competitors cannot easily replicate [2]</w:t>
      </w:r>
    </w:p>
    <w:p>
      <w:pPr>
        <w:spacing w:before="40" w:after="40"/>
        <w:ind w:left="283"/>
      </w:pPr>
      <w:r>
        <w:rPr>
          <w:rFonts w:ascii="Calibri" w:hAnsi="Calibri"/>
          <w:b/>
          <w:color w:val="4A6B25"/>
          <w:sz w:val="20"/>
        </w:rPr>
        <w:t xml:space="preserve">3. </w:t>
      </w:r>
      <w:r>
        <w:rPr>
          <w:rFonts w:ascii="Calibri" w:hAnsi="Calibri"/>
          <w:b w:val="0"/>
          <w:color w:val="3A4A28"/>
          <w:sz w:val="20"/>
        </w:rPr>
        <w:t>Appointment of Allen Weinberg as Chief Growth and Strategy Officer in March 2026 to accelerate new market identification and product development, signaling increased focus on organic growth acceleration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moat erosion — Broadridge's near-monopoly in investor communications has drawn criticism and could face competitive reforms or regulatory changes that open the market to new entrants [2]</w:t>
      </w:r>
    </w:p>
    <w:p>
      <w:pPr>
        <w:spacing w:before="40" w:after="40"/>
        <w:ind w:left="283"/>
      </w:pPr>
      <w:r>
        <w:rPr>
          <w:rFonts w:ascii="Calibri" w:hAnsi="Calibri"/>
          <w:b/>
          <w:color w:val="4A6B25"/>
          <w:sz w:val="20"/>
        </w:rPr>
        <w:t xml:space="preserve">2. </w:t>
      </w:r>
      <w:r>
        <w:rPr>
          <w:rFonts w:ascii="Calibri" w:hAnsi="Calibri"/>
          <w:b w:val="0"/>
          <w:color w:val="3A4A28"/>
          <w:sz w:val="20"/>
        </w:rPr>
        <w:t>Growth deceleration — recurring revenue growth of 5-7% and total revenue growth of 7.8% may not sustain the current valuation multiple if capital markets volumes decline or net new business wins slow [1]</w:t>
      </w:r>
    </w:p>
    <w:p>
      <w:pPr>
        <w:spacing w:before="40" w:after="40"/>
        <w:ind w:left="283"/>
      </w:pPr>
      <w:r>
        <w:rPr>
          <w:rFonts w:ascii="Calibri" w:hAnsi="Calibri"/>
          <w:b/>
          <w:color w:val="4A6B25"/>
          <w:sz w:val="20"/>
        </w:rPr>
        <w:t xml:space="preserve">3. </w:t>
      </w:r>
      <w:r>
        <w:rPr>
          <w:rFonts w:ascii="Calibri" w:hAnsi="Calibri"/>
          <w:b w:val="0"/>
          <w:color w:val="3A4A28"/>
          <w:sz w:val="20"/>
        </w:rPr>
        <w:t>Leverage and capital allocation constraints — D/E of 117% combined with a 41% payout ratio and growing dividend commitment limits flexibility for transformative acquisitions or large-scale AI investment at the pace needed to maintain competitive advantage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Broadridge's core investor communications and proxy services business is deeply protected by regulatory requirements — the SEC mandates specific communication processes that Broadridge has operationalized at scale for 10,000+ public companies, creating enormous switching costs and regulatory moats [2]. Settling $15 trillion in trades daily requires mission-critical infrastructure that cannot be easily replicated by AI-native startups. However, Broadridge's technology services face real AI exposure: AI-powered analytics platforms could compete with Broadridge's data and reporting products, and generative AI could automate aspects of regulatory communication drafting and processing. The wealth management and asset management technology segments face competition from AI-native fintech firms offering more intelligent portfolio tools and client engagement solutions. Broadridge is actively adapting with 27 AI initiatives and BondGPT deployment, demonstrating awareness of the threat landscape [2]. AI Opportunity (1/1): Broadridge generates meaningful AI revenue through BondGPT on the LTX platform and 27 active AI initiatives spanning product enhancement and new solution development. CEO Gokey has explicitly positioned Broadridge as an AI leader in financial technology, and the company's domain expertise in capital markets gives it a competitive advantage in developing AI-powered financial solutions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Broadridge Q2 FY2026 Earnings Release — $1.23B total revenue (+7%), $590M recurring revenue (+9%), raised FY2026 adjusted EPS growth guidance to 9-12%; PRNewswire,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Broadridge AI strategy and leadership — CEO Tim Gokey, 27 AI initiatives, BondGPT on LTX, Allen Weinberg appointed Chief Growth &amp; Strategy Officer, $78M NY job investment; Broadridge.com, Semafor, Governor Hochul announcement, 2025-2026</w:t>
      </w:r>
    </w:p>
    <w:p>
      <w:pPr>
        <w:spacing w:before="20" w:after="20"/>
        <w:ind w:left="170"/>
      </w:pPr>
      <w:r>
        <w:rPr>
          <w:rFonts w:ascii="Calibri" w:hAnsi="Calibri"/>
          <w:b/>
          <w:color w:val="4A6B25"/>
          <w:sz w:val="15"/>
        </w:rPr>
        <w:t xml:space="preserve">3. </w:t>
      </w:r>
      <w:r>
        <w:rPr>
          <w:rFonts w:ascii="Calibri" w:hAnsi="Calibri"/>
          <w:b w:val="0"/>
          <w:color w:val="3A4A28"/>
          <w:sz w:val="17"/>
        </w:rPr>
        <w:t>Broadridge ESG and governance — Sustainalytics 'Strong' ESG management rating, 1792 Exchange 'High Risk' governance rating, ProxyPulse research on shareholder proposals; Sustainalytics, 1792 Exchange,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BR — key statistics including D/E 117.2%, ROE 41.8%, Forward P/E 15.1x, dividend yield 2.49%, avg volume 1.61M;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